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0A" w:rsidRDefault="00AF430A" w:rsidP="00FD781D">
      <w:pPr>
        <w:autoSpaceDE w:val="0"/>
        <w:autoSpaceDN w:val="0"/>
        <w:adjustRightInd w:val="0"/>
        <w:spacing w:after="0" w:line="240" w:lineRule="auto"/>
        <w:ind w:firstLine="567"/>
        <w:jc w:val="center"/>
        <w:rPr>
          <w:rFonts w:ascii="Times New Roman" w:hAnsi="Times New Roman"/>
          <w:b/>
          <w:sz w:val="24"/>
          <w:szCs w:val="24"/>
          <w:lang w:eastAsia="ru-RU"/>
        </w:rPr>
      </w:pPr>
      <w:r>
        <w:rPr>
          <w:rFonts w:ascii="Times New Roman" w:hAnsi="Times New Roman"/>
          <w:b/>
          <w:sz w:val="24"/>
          <w:szCs w:val="24"/>
          <w:lang w:eastAsia="ru-RU"/>
        </w:rPr>
        <w:t>Проверка</w:t>
      </w:r>
      <w:r>
        <w:t xml:space="preserve"> </w:t>
      </w:r>
      <w:r>
        <w:rPr>
          <w:rFonts w:ascii="Times New Roman" w:hAnsi="Times New Roman"/>
          <w:b/>
          <w:sz w:val="24"/>
          <w:szCs w:val="24"/>
          <w:lang w:eastAsia="ru-RU"/>
        </w:rPr>
        <w:t>отдельных вопросов расходования бюджетных средств, выделенных на благоустройство муниципальных образовательных организаций на территории городского округа «Город Архангельск», за 2020 год – истекший период 2021 года (совместно с контрольно-счетной палатой Архангельской области)</w:t>
      </w:r>
    </w:p>
    <w:p w:rsidR="00AF430A" w:rsidRDefault="00AF430A" w:rsidP="00FD781D">
      <w:pPr>
        <w:autoSpaceDE w:val="0"/>
        <w:autoSpaceDN w:val="0"/>
        <w:adjustRightInd w:val="0"/>
        <w:spacing w:after="0" w:line="240" w:lineRule="auto"/>
        <w:ind w:firstLine="567"/>
        <w:jc w:val="center"/>
        <w:rPr>
          <w:rFonts w:ascii="Times New Roman" w:hAnsi="Times New Roman"/>
          <w:sz w:val="24"/>
          <w:szCs w:val="24"/>
          <w:lang w:eastAsia="ru-RU"/>
        </w:rPr>
      </w:pPr>
    </w:p>
    <w:p w:rsidR="00AF430A" w:rsidRDefault="00AF430A" w:rsidP="00FD781D">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Контрольно-счетной палатой проведена проверка отдельных вопросов расходования бюджетных средств, выделенных на благоустройство муниципальных образовательных организаций на территории городского округа «Город Архангельск», за 2020 год – истекший период 2021 года (совместно с контрольно-счетной палатой Архангельской области)</w:t>
      </w:r>
    </w:p>
    <w:p w:rsidR="00AF430A" w:rsidRDefault="00AF430A" w:rsidP="00AF430A">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По результатам проведенной выборочной проверки установлены следующие нарушения: </w:t>
      </w:r>
    </w:p>
    <w:p w:rsidR="00AF430A" w:rsidRDefault="00AF430A" w:rsidP="00AF430A">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 Требований пунктов 127, 351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  в части нарушений ведения бухгалтерского учета.</w:t>
      </w:r>
    </w:p>
    <w:p w:rsidR="00AF430A" w:rsidRDefault="00AF430A" w:rsidP="00AF430A">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2. Пункта 1 статьи 78.1, статьи 162 Бюджетного кодекса Российской Федерации, условий Соглашений, заключенных между департаментом образования Администрации МО «Город Архангельск» и муниципальными учреждениями, в части приемки и оплаты работ. </w:t>
      </w:r>
    </w:p>
    <w:p w:rsidR="00AF430A" w:rsidRDefault="00AF430A" w:rsidP="00AF430A">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 Части 10 статьи 22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части обоснования начальной максимальной цены контракта.</w:t>
      </w:r>
    </w:p>
    <w:p w:rsidR="00AF430A" w:rsidRDefault="00AF430A" w:rsidP="00AF430A">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4. Пунктов 8 и 13 части 2 статьи 103 Федерального закона №44-ФЗ в части нарушения сроков размещения информации в ЕИС. </w:t>
      </w:r>
    </w:p>
    <w:p w:rsidR="00AF430A" w:rsidRDefault="00AF430A" w:rsidP="00AF430A">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5. Пункта 2 статьи 34, пункта 1 части 1 статьи 95 Федерального закона №44-ФЗ и условий  муниципального контракта в части изменения существенных условий контракта.</w:t>
      </w:r>
    </w:p>
    <w:p w:rsidR="00AF430A" w:rsidRDefault="00AF430A" w:rsidP="00AF430A">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6. Части 6 статьи 34 Федерального закона №44-ФЗ и условий муниципального контракта в части не направления требований в адрес Подрядчика об уплате штрафа за ненадлежащее исполнение контракта.</w:t>
      </w:r>
    </w:p>
    <w:p w:rsidR="00AF430A" w:rsidRDefault="00AF430A" w:rsidP="00AF430A">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7. Пункта 1 части 1 статьи 95 Федерального закона №44-ФЗ в части установления в контракте порядка изменения контракта.</w:t>
      </w:r>
    </w:p>
    <w:p w:rsidR="00AF430A" w:rsidRDefault="00AF430A" w:rsidP="00AF430A">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8. Условий муниципального контракта в части приемки товара, не соответствующего требованиям технического задания в части заявленных размеров.</w:t>
      </w:r>
    </w:p>
    <w:p w:rsidR="00AF430A" w:rsidRDefault="00AF430A" w:rsidP="00AF430A">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9. Статей 7, 42 Земельного кодекса Российской Федерации в части использования земельного участка под зданием школы и прилегающей к ней территории не в соответствии с его целевым назначением.</w:t>
      </w:r>
      <w:bookmarkStart w:id="0" w:name="_GoBack"/>
      <w:bookmarkEnd w:id="0"/>
    </w:p>
    <w:p w:rsidR="00AF430A" w:rsidRDefault="00AF430A" w:rsidP="00AF430A">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10. Частей 1, 2, 3 статьи 94 Федерального закона № 44-ФЗ, пункта 10.6 ГОСТ </w:t>
      </w:r>
      <w:proofErr w:type="gramStart"/>
      <w:r>
        <w:rPr>
          <w:rFonts w:ascii="Times New Roman" w:hAnsi="Times New Roman"/>
          <w:sz w:val="24"/>
          <w:szCs w:val="24"/>
          <w:lang w:eastAsia="ru-RU"/>
        </w:rPr>
        <w:t>Р</w:t>
      </w:r>
      <w:proofErr w:type="gramEnd"/>
      <w:r>
        <w:rPr>
          <w:rFonts w:ascii="Times New Roman" w:hAnsi="Times New Roman"/>
          <w:sz w:val="24"/>
          <w:szCs w:val="24"/>
          <w:lang w:eastAsia="ru-RU"/>
        </w:rPr>
        <w:t xml:space="preserve"> 54401-2020. «Смеси литые асфальтобетонные дорожные горячие и асфальтобетон литой дорожный. Технические условия», условий контракта в части принятия учреждением работ по укладке верхнего слоя асфальтобетона, выполненных при температуре окружающего воздуха ниже 0С.</w:t>
      </w:r>
    </w:p>
    <w:p w:rsidR="00AF430A" w:rsidRDefault="00AF430A" w:rsidP="00AF430A">
      <w:pPr>
        <w:spacing w:after="0" w:line="240" w:lineRule="auto"/>
        <w:ind w:firstLine="567"/>
        <w:jc w:val="both"/>
        <w:rPr>
          <w:rFonts w:ascii="Times New Roman" w:hAnsi="Times New Roman"/>
          <w:sz w:val="24"/>
          <w:szCs w:val="24"/>
          <w:lang w:eastAsia="ru-RU"/>
        </w:rPr>
      </w:pPr>
    </w:p>
    <w:p w:rsidR="00AF430A" w:rsidRDefault="00AF430A" w:rsidP="00AF430A">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соответствии со статьей 17 Положения о контрольно-счетной палате муниципального образования «Город Архангельск», утвержденного решением Архангельской городской Думы от 25.04.2012 №420, в целях устранения нарушений в адрес департамента образования Администрации МО «Город Архангельск», МБОУ «Основная школа № 12» и МБОУ «Средняя школа №62» направлены представления.</w:t>
      </w:r>
    </w:p>
    <w:p w:rsidR="00AF430A" w:rsidRDefault="00AF430A" w:rsidP="00AF430A">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Информация о результатах проверки направлена Главе муниципального образования «Город Архангельск», в Архангельскую городскую Думу, прокуратуру города Архангельска.</w:t>
      </w:r>
    </w:p>
    <w:p w:rsidR="00F02A07" w:rsidRDefault="00F02A07"/>
    <w:sectPr w:rsidR="00F02A07" w:rsidSect="00FD781D">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102"/>
    <w:rsid w:val="00097102"/>
    <w:rsid w:val="00AF430A"/>
    <w:rsid w:val="00F02A07"/>
    <w:rsid w:val="00FD7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3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43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3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43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7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513</Words>
  <Characters>2929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Александровна Кузнецова</dc:creator>
  <cp:keywords/>
  <dc:description/>
  <cp:lastModifiedBy>Екатерина Александровна Кузнецова</cp:lastModifiedBy>
  <cp:revision>4</cp:revision>
  <dcterms:created xsi:type="dcterms:W3CDTF">2021-06-18T10:08:00Z</dcterms:created>
  <dcterms:modified xsi:type="dcterms:W3CDTF">2021-06-18T10:17:00Z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