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E5" w:rsidRDefault="00262BE5" w:rsidP="00262BE5">
      <w:pPr>
        <w:spacing w:after="0" w:line="240" w:lineRule="auto"/>
        <w:ind w:firstLine="708"/>
        <w:contextualSpacing/>
        <w:jc w:val="center"/>
        <w:rPr>
          <w:rFonts w:ascii="Times New Roman" w:hAnsi="Times New Roman"/>
          <w:b/>
          <w:sz w:val="24"/>
          <w:szCs w:val="24"/>
        </w:rPr>
      </w:pPr>
      <w:r w:rsidRPr="00262BE5">
        <w:rPr>
          <w:rFonts w:ascii="Times New Roman" w:hAnsi="Times New Roman"/>
          <w:b/>
          <w:sz w:val="24"/>
          <w:szCs w:val="24"/>
        </w:rPr>
        <w:t>Проверка использования бюджетных средств на создание дополнительных мест в системе дошкольного образования, а также анализ участия муниципального образования «Город Архангельск» в реализации национального проекта «Демография» в 2018-2019 годах и истекшем  периоде 2020 го</w:t>
      </w:r>
      <w:r>
        <w:rPr>
          <w:rFonts w:ascii="Times New Roman" w:hAnsi="Times New Roman"/>
          <w:b/>
          <w:sz w:val="24"/>
          <w:szCs w:val="24"/>
        </w:rPr>
        <w:t xml:space="preserve">да </w:t>
      </w:r>
    </w:p>
    <w:p w:rsidR="00262BE5" w:rsidRPr="00262BE5" w:rsidRDefault="00262BE5" w:rsidP="00262BE5">
      <w:pPr>
        <w:spacing w:after="0" w:line="240" w:lineRule="auto"/>
        <w:ind w:firstLine="708"/>
        <w:contextualSpacing/>
        <w:jc w:val="center"/>
        <w:rPr>
          <w:rFonts w:ascii="Times New Roman" w:hAnsi="Times New Roman"/>
          <w:b/>
          <w:sz w:val="24"/>
          <w:szCs w:val="24"/>
        </w:rPr>
      </w:pPr>
    </w:p>
    <w:p w:rsidR="00262BE5" w:rsidRPr="00262BE5" w:rsidRDefault="00262BE5" w:rsidP="00262BE5">
      <w:pPr>
        <w:spacing w:after="240" w:line="240" w:lineRule="auto"/>
        <w:ind w:firstLine="567"/>
        <w:contextualSpacing/>
        <w:jc w:val="both"/>
        <w:rPr>
          <w:rFonts w:ascii="Times New Roman" w:hAnsi="Times New Roman"/>
          <w:sz w:val="24"/>
          <w:szCs w:val="24"/>
        </w:rPr>
      </w:pPr>
      <w:r w:rsidRPr="00262BE5">
        <w:rPr>
          <w:rFonts w:ascii="Times New Roman" w:hAnsi="Times New Roman"/>
          <w:sz w:val="24"/>
          <w:szCs w:val="24"/>
        </w:rPr>
        <w:t>Контрольно-счетной палатой проведена проверка использования бюджетных средств на создание дополнительных мест в системе дошкольного образования, а также анализ участия муниципального образования «Город Архангельск» в реализации национального проекта «Демография» в 2018-2019 годах и истекшем периоде 2020 года (общероссийское мероприятие).</w:t>
      </w:r>
    </w:p>
    <w:p w:rsidR="00262BE5" w:rsidRPr="00262BE5" w:rsidRDefault="00262BE5" w:rsidP="00262BE5">
      <w:pPr>
        <w:autoSpaceDE w:val="0"/>
        <w:autoSpaceDN w:val="0"/>
        <w:adjustRightInd w:val="0"/>
        <w:spacing w:after="0" w:line="240" w:lineRule="auto"/>
        <w:ind w:firstLine="567"/>
        <w:jc w:val="both"/>
        <w:rPr>
          <w:rFonts w:ascii="Times New Roman" w:hAnsi="Times New Roman"/>
          <w:sz w:val="24"/>
          <w:szCs w:val="24"/>
          <w:lang w:eastAsia="ru-RU"/>
        </w:rPr>
      </w:pPr>
    </w:p>
    <w:p w:rsidR="00262BE5" w:rsidRPr="00262BE5" w:rsidRDefault="00262BE5" w:rsidP="00262BE5">
      <w:pPr>
        <w:spacing w:after="0" w:line="240" w:lineRule="auto"/>
        <w:ind w:firstLine="567"/>
        <w:jc w:val="both"/>
        <w:rPr>
          <w:rFonts w:ascii="Times New Roman" w:hAnsi="Times New Roman"/>
          <w:sz w:val="24"/>
          <w:szCs w:val="24"/>
          <w:lang w:eastAsia="ru-RU"/>
        </w:rPr>
      </w:pPr>
      <w:r w:rsidRPr="00262BE5">
        <w:rPr>
          <w:rFonts w:ascii="Times New Roman" w:hAnsi="Times New Roman"/>
          <w:sz w:val="24"/>
          <w:szCs w:val="24"/>
          <w:lang w:eastAsia="ru-RU"/>
        </w:rPr>
        <w:t>По результатам проведенной проверки установлены следующие нарушения (замечания):</w:t>
      </w:r>
    </w:p>
    <w:p w:rsidR="00262BE5" w:rsidRPr="00262BE5" w:rsidRDefault="00262BE5" w:rsidP="00262BE5">
      <w:pPr>
        <w:spacing w:after="0" w:line="240" w:lineRule="auto"/>
        <w:ind w:firstLine="567"/>
        <w:jc w:val="both"/>
        <w:rPr>
          <w:rFonts w:ascii="Times New Roman" w:eastAsiaTheme="minorHAnsi" w:hAnsi="Times New Roman"/>
          <w:sz w:val="24"/>
          <w:szCs w:val="24"/>
        </w:rPr>
      </w:pPr>
      <w:r w:rsidRPr="00262BE5">
        <w:rPr>
          <w:rFonts w:ascii="Times New Roman" w:hAnsi="Times New Roman"/>
          <w:sz w:val="24"/>
          <w:szCs w:val="24"/>
          <w:lang w:eastAsia="ru-RU"/>
        </w:rPr>
        <w:t>1.</w:t>
      </w:r>
      <w:r w:rsidR="006453E2" w:rsidRPr="006453E2">
        <w:rPr>
          <w:rFonts w:ascii="Times New Roman" w:hAnsi="Times New Roman"/>
          <w:sz w:val="24"/>
          <w:szCs w:val="24"/>
          <w:lang w:eastAsia="ru-RU"/>
        </w:rPr>
        <w:t xml:space="preserve"> </w:t>
      </w:r>
      <w:proofErr w:type="gramStart"/>
      <w:r w:rsidRPr="00262BE5">
        <w:rPr>
          <w:rFonts w:ascii="Times New Roman" w:hAnsi="Times New Roman"/>
          <w:sz w:val="24"/>
          <w:szCs w:val="24"/>
          <w:lang w:eastAsia="ru-RU"/>
        </w:rPr>
        <w:t xml:space="preserve">Нарушение условий Соглашений </w:t>
      </w:r>
      <w:r w:rsidRPr="00262BE5">
        <w:rPr>
          <w:rFonts w:ascii="Times New Roman" w:eastAsiaTheme="minorHAnsi" w:hAnsi="Times New Roman"/>
          <w:sz w:val="24"/>
          <w:szCs w:val="24"/>
        </w:rPr>
        <w:t xml:space="preserve">о предоставлении иного межбюджетного трансферта из бюджета Архангельской области местному бюджету на финансовое обеспечение мероприятий по созданию в муниципальных образованиях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 Соглашений о предоставлении субсидии из областного бюджета местному бюджету на </w:t>
      </w:r>
      <w:proofErr w:type="spellStart"/>
      <w:r w:rsidRPr="00262BE5">
        <w:rPr>
          <w:rFonts w:ascii="Times New Roman" w:eastAsiaTheme="minorHAnsi" w:hAnsi="Times New Roman"/>
          <w:sz w:val="24"/>
          <w:szCs w:val="24"/>
        </w:rPr>
        <w:t>софинансирование</w:t>
      </w:r>
      <w:proofErr w:type="spellEnd"/>
      <w:r w:rsidRPr="00262BE5">
        <w:rPr>
          <w:rFonts w:ascii="Times New Roman" w:eastAsiaTheme="minorHAnsi" w:hAnsi="Times New Roman"/>
          <w:sz w:val="24"/>
          <w:szCs w:val="24"/>
        </w:rPr>
        <w:t xml:space="preserve"> капитальных вложений</w:t>
      </w:r>
      <w:proofErr w:type="gramEnd"/>
      <w:r w:rsidRPr="00262BE5">
        <w:rPr>
          <w:rFonts w:ascii="Times New Roman" w:eastAsiaTheme="minorHAnsi" w:hAnsi="Times New Roman"/>
          <w:sz w:val="24"/>
          <w:szCs w:val="24"/>
        </w:rPr>
        <w:t xml:space="preserve"> в объекты муниципальной собственности муниципальных образований Архангельской области заключенных  Министерством строительства и архитектуры Архангельской области, и департаментом транспорта, строительства и городской инфраструктуры Администрации муниципального образования «Город Архангельск», </w:t>
      </w:r>
      <w:r w:rsidRPr="00262BE5">
        <w:rPr>
          <w:rFonts w:ascii="Times New Roman" w:eastAsia="Times New Roman" w:hAnsi="Times New Roman"/>
          <w:sz w:val="24"/>
          <w:szCs w:val="24"/>
          <w:lang w:eastAsia="ru-RU"/>
        </w:rPr>
        <w:t>в части не</w:t>
      </w:r>
      <w:r w:rsidRPr="00262BE5">
        <w:rPr>
          <w:rFonts w:ascii="Times New Roman" w:hAnsi="Times New Roman"/>
          <w:sz w:val="24"/>
          <w:szCs w:val="24"/>
          <w:lang w:eastAsia="ru-RU"/>
        </w:rPr>
        <w:t xml:space="preserve"> достижения показателей результативности по количеству созданных мест и уровню технической готовности отдельных объектов капитального строительства. </w:t>
      </w:r>
    </w:p>
    <w:p w:rsidR="00262BE5" w:rsidRPr="00262BE5" w:rsidRDefault="00262BE5" w:rsidP="00262BE5">
      <w:pPr>
        <w:spacing w:after="0" w:line="240" w:lineRule="auto"/>
        <w:ind w:firstLine="567"/>
        <w:jc w:val="both"/>
        <w:rPr>
          <w:rFonts w:ascii="Times New Roman" w:hAnsi="Times New Roman"/>
          <w:sz w:val="24"/>
          <w:szCs w:val="24"/>
          <w:lang w:eastAsia="ru-RU"/>
        </w:rPr>
      </w:pPr>
      <w:r w:rsidRPr="00262BE5">
        <w:rPr>
          <w:rFonts w:ascii="Times New Roman" w:eastAsia="Times New Roman" w:hAnsi="Times New Roman"/>
          <w:sz w:val="24"/>
          <w:szCs w:val="24"/>
          <w:lang w:eastAsia="ru-RU"/>
        </w:rPr>
        <w:t xml:space="preserve">2. </w:t>
      </w:r>
      <w:proofErr w:type="gramStart"/>
      <w:r w:rsidRPr="00262BE5">
        <w:rPr>
          <w:rFonts w:ascii="Times New Roman" w:eastAsia="Times New Roman" w:hAnsi="Times New Roman"/>
          <w:sz w:val="24"/>
          <w:szCs w:val="24"/>
          <w:lang w:eastAsia="ru-RU"/>
        </w:rPr>
        <w:t xml:space="preserve">Нарушение п.351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 - </w:t>
      </w:r>
      <w:r w:rsidRPr="00262BE5">
        <w:rPr>
          <w:rFonts w:ascii="Times New Roman" w:eastAsia="Times New Roman" w:hAnsi="Times New Roman"/>
          <w:bCs/>
          <w:iCs/>
          <w:sz w:val="24"/>
          <w:szCs w:val="24"/>
          <w:lang w:eastAsia="ru-RU"/>
        </w:rPr>
        <w:t>Инструкция № 157н)</w:t>
      </w:r>
      <w:r w:rsidRPr="00262BE5">
        <w:rPr>
          <w:rFonts w:ascii="Times New Roman" w:eastAsia="Times New Roman" w:hAnsi="Times New Roman"/>
          <w:sz w:val="24"/>
          <w:szCs w:val="24"/>
          <w:lang w:eastAsia="ru-RU"/>
        </w:rPr>
        <w:t xml:space="preserve">, выразившееся в не отражении в бухгалтерском учете предоставленных Подрядчиками в обеспечение исполнения контрактов на </w:t>
      </w:r>
      <w:proofErr w:type="spellStart"/>
      <w:r w:rsidRPr="00262BE5">
        <w:rPr>
          <w:rFonts w:ascii="Times New Roman" w:eastAsia="Times New Roman" w:hAnsi="Times New Roman"/>
          <w:sz w:val="24"/>
          <w:szCs w:val="24"/>
          <w:lang w:eastAsia="ru-RU"/>
        </w:rPr>
        <w:t>забалансовом</w:t>
      </w:r>
      <w:proofErr w:type="spellEnd"/>
      <w:r w:rsidRPr="00262BE5">
        <w:rPr>
          <w:rFonts w:ascii="Times New Roman" w:eastAsia="Times New Roman" w:hAnsi="Times New Roman"/>
          <w:sz w:val="24"/>
          <w:szCs w:val="24"/>
          <w:lang w:eastAsia="ru-RU"/>
        </w:rPr>
        <w:t xml:space="preserve"> счете банковских гарантий.</w:t>
      </w:r>
      <w:proofErr w:type="gramEnd"/>
    </w:p>
    <w:p w:rsidR="00262BE5" w:rsidRPr="00262BE5" w:rsidRDefault="00262BE5" w:rsidP="00262BE5">
      <w:pPr>
        <w:spacing w:after="0" w:line="240" w:lineRule="auto"/>
        <w:ind w:firstLine="567"/>
        <w:contextualSpacing/>
        <w:jc w:val="both"/>
        <w:rPr>
          <w:rFonts w:ascii="Times New Roman" w:eastAsia="Times New Roman" w:hAnsi="Times New Roman"/>
          <w:sz w:val="24"/>
          <w:szCs w:val="24"/>
          <w:lang w:eastAsia="ru-RU"/>
        </w:rPr>
      </w:pPr>
      <w:r w:rsidRPr="00262BE5">
        <w:rPr>
          <w:rFonts w:ascii="Times New Roman" w:eastAsia="Times New Roman" w:hAnsi="Times New Roman"/>
          <w:sz w:val="24"/>
          <w:szCs w:val="24"/>
          <w:lang w:eastAsia="ru-RU"/>
        </w:rPr>
        <w:t xml:space="preserve">3. </w:t>
      </w:r>
      <w:proofErr w:type="gramStart"/>
      <w:r w:rsidRPr="00262BE5">
        <w:rPr>
          <w:rFonts w:ascii="Times New Roman" w:eastAsia="Times New Roman" w:hAnsi="Times New Roman"/>
          <w:sz w:val="24"/>
          <w:szCs w:val="24"/>
          <w:lang w:eastAsia="ru-RU"/>
        </w:rPr>
        <w:t xml:space="preserve">Нарушение п.20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№191н, </w:t>
      </w:r>
      <w:bookmarkStart w:id="0" w:name="_GoBack"/>
      <w:bookmarkEnd w:id="0"/>
      <w:r w:rsidRPr="00262BE5">
        <w:rPr>
          <w:rFonts w:ascii="Times New Roman" w:eastAsia="Times New Roman" w:hAnsi="Times New Roman"/>
          <w:sz w:val="24"/>
          <w:szCs w:val="24"/>
          <w:lang w:eastAsia="ru-RU"/>
        </w:rPr>
        <w:t xml:space="preserve">в части не отражения по коду строки 103 «Банковская гарантия» Справок о наличии имущества и обязательств на </w:t>
      </w:r>
      <w:proofErr w:type="spellStart"/>
      <w:r w:rsidRPr="00262BE5">
        <w:rPr>
          <w:rFonts w:ascii="Times New Roman" w:eastAsia="Times New Roman" w:hAnsi="Times New Roman"/>
          <w:sz w:val="24"/>
          <w:szCs w:val="24"/>
          <w:lang w:eastAsia="ru-RU"/>
        </w:rPr>
        <w:t>забалансовых</w:t>
      </w:r>
      <w:proofErr w:type="spellEnd"/>
      <w:r w:rsidRPr="00262BE5">
        <w:rPr>
          <w:rFonts w:ascii="Times New Roman" w:eastAsia="Times New Roman" w:hAnsi="Times New Roman"/>
          <w:sz w:val="24"/>
          <w:szCs w:val="24"/>
          <w:lang w:eastAsia="ru-RU"/>
        </w:rPr>
        <w:t xml:space="preserve"> счетах по состоянию на 01.01.2019 (ф.0503130) и на 01.01.2020 (ф.0503130) по </w:t>
      </w:r>
      <w:proofErr w:type="spellStart"/>
      <w:r w:rsidRPr="00262BE5">
        <w:rPr>
          <w:rFonts w:ascii="Times New Roman" w:eastAsia="Times New Roman" w:hAnsi="Times New Roman"/>
          <w:sz w:val="24"/>
          <w:szCs w:val="24"/>
          <w:lang w:eastAsia="ru-RU"/>
        </w:rPr>
        <w:t>забалансовому</w:t>
      </w:r>
      <w:proofErr w:type="spellEnd"/>
      <w:proofErr w:type="gramEnd"/>
      <w:r w:rsidRPr="00262BE5">
        <w:rPr>
          <w:rFonts w:ascii="Times New Roman" w:eastAsia="Times New Roman" w:hAnsi="Times New Roman"/>
          <w:sz w:val="24"/>
          <w:szCs w:val="24"/>
          <w:lang w:eastAsia="ru-RU"/>
        </w:rPr>
        <w:t xml:space="preserve"> счету 10 «Обеспечение исполнения обязательств» банковских гарантий, что привело к искажению показателей Справок о наличии имущества и обязательств на </w:t>
      </w:r>
      <w:proofErr w:type="spellStart"/>
      <w:r w:rsidRPr="00262BE5">
        <w:rPr>
          <w:rFonts w:ascii="Times New Roman" w:eastAsia="Times New Roman" w:hAnsi="Times New Roman"/>
          <w:sz w:val="24"/>
          <w:szCs w:val="24"/>
          <w:lang w:eastAsia="ru-RU"/>
        </w:rPr>
        <w:t>забалансовых</w:t>
      </w:r>
      <w:proofErr w:type="spellEnd"/>
      <w:r w:rsidRPr="00262BE5">
        <w:rPr>
          <w:rFonts w:ascii="Times New Roman" w:eastAsia="Times New Roman" w:hAnsi="Times New Roman"/>
          <w:sz w:val="24"/>
          <w:szCs w:val="24"/>
          <w:lang w:eastAsia="ru-RU"/>
        </w:rPr>
        <w:t xml:space="preserve"> счетах по состоянию на 01.01.2019 и на 01.01.2020.</w:t>
      </w:r>
    </w:p>
    <w:p w:rsidR="00262BE5" w:rsidRPr="00262BE5" w:rsidRDefault="00262BE5" w:rsidP="00262BE5">
      <w:pPr>
        <w:spacing w:after="0" w:line="240" w:lineRule="auto"/>
        <w:ind w:firstLine="567"/>
        <w:contextualSpacing/>
        <w:jc w:val="both"/>
        <w:rPr>
          <w:rFonts w:ascii="Times New Roman" w:eastAsia="Times New Roman" w:hAnsi="Times New Roman"/>
          <w:sz w:val="24"/>
          <w:szCs w:val="24"/>
          <w:lang w:eastAsia="ru-RU"/>
        </w:rPr>
      </w:pPr>
      <w:r w:rsidRPr="00262BE5">
        <w:rPr>
          <w:rFonts w:ascii="Times New Roman" w:eastAsia="Times New Roman" w:hAnsi="Times New Roman"/>
          <w:sz w:val="24"/>
          <w:szCs w:val="24"/>
          <w:lang w:eastAsia="ru-RU"/>
        </w:rPr>
        <w:t>4.</w:t>
      </w:r>
      <w:r w:rsidRPr="00262BE5">
        <w:rPr>
          <w:rFonts w:ascii="Times New Roman" w:hAnsi="Times New Roman"/>
          <w:i/>
          <w:sz w:val="24"/>
          <w:szCs w:val="24"/>
        </w:rPr>
        <w:t xml:space="preserve"> </w:t>
      </w:r>
      <w:r w:rsidRPr="00262BE5">
        <w:rPr>
          <w:rFonts w:ascii="Times New Roman" w:eastAsia="Times New Roman" w:hAnsi="Times New Roman"/>
          <w:sz w:val="24"/>
          <w:szCs w:val="24"/>
          <w:lang w:eastAsia="ru-RU"/>
        </w:rPr>
        <w:t xml:space="preserve">Нарушение ч.6 ст.34 </w:t>
      </w:r>
      <w:r w:rsidRPr="00262BE5">
        <w:rPr>
          <w:rFonts w:ascii="Times New Roman" w:hAnsi="Times New Roman"/>
          <w:snapToGrid w:val="0"/>
          <w:sz w:val="24"/>
          <w:szCs w:val="24"/>
          <w:lang w:eastAsia="ru-RU"/>
        </w:rPr>
        <w:t xml:space="preserve">Федерального закона от 05.04.2013 №44-ФЗ «О контрактной системе в сфере закупок товаров, работ, услуг для обеспечения государственных и муниципальных нужд» </w:t>
      </w:r>
      <w:r w:rsidRPr="00262BE5">
        <w:rPr>
          <w:rFonts w:ascii="Times New Roman" w:eastAsia="Times New Roman" w:hAnsi="Times New Roman"/>
          <w:sz w:val="24"/>
          <w:szCs w:val="24"/>
          <w:lang w:eastAsia="ru-RU"/>
        </w:rPr>
        <w:t>и условий муниципального контракта департаментом транспорта в адрес Подрядчика не направлено требование об уплате неустоек (штрафов, пеней) за 211 дней просрочки выполнения работ.</w:t>
      </w:r>
    </w:p>
    <w:p w:rsidR="00262BE5" w:rsidRPr="00262BE5" w:rsidRDefault="00262BE5" w:rsidP="00262BE5">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262BE5">
        <w:rPr>
          <w:rFonts w:ascii="Times New Roman" w:eastAsia="Times New Roman" w:hAnsi="Times New Roman"/>
          <w:sz w:val="24"/>
          <w:szCs w:val="24"/>
          <w:lang w:eastAsia="ru-RU"/>
        </w:rPr>
        <w:t xml:space="preserve">5. Нарушение </w:t>
      </w:r>
      <w:r w:rsidRPr="00262BE5">
        <w:rPr>
          <w:rFonts w:ascii="Times New Roman" w:eastAsia="Times New Roman" w:hAnsi="Times New Roman"/>
          <w:bCs/>
          <w:iCs/>
          <w:sz w:val="24"/>
          <w:szCs w:val="24"/>
          <w:lang w:eastAsia="ru-RU"/>
        </w:rPr>
        <w:t xml:space="preserve">требований </w:t>
      </w:r>
      <w:hyperlink r:id="rId5" w:history="1">
        <w:r w:rsidRPr="00262BE5">
          <w:rPr>
            <w:rFonts w:ascii="Times New Roman" w:eastAsia="Times New Roman" w:hAnsi="Times New Roman"/>
            <w:bCs/>
            <w:iCs/>
            <w:sz w:val="24"/>
            <w:szCs w:val="24"/>
            <w:lang w:eastAsia="ru-RU"/>
          </w:rPr>
          <w:t>части 1 статьи 10</w:t>
        </w:r>
      </w:hyperlink>
      <w:r w:rsidRPr="00262BE5">
        <w:rPr>
          <w:rFonts w:ascii="Times New Roman" w:eastAsia="Times New Roman" w:hAnsi="Times New Roman"/>
          <w:bCs/>
          <w:iCs/>
          <w:sz w:val="24"/>
          <w:szCs w:val="24"/>
          <w:lang w:eastAsia="ru-RU"/>
        </w:rPr>
        <w:t xml:space="preserve"> </w:t>
      </w:r>
      <w:r w:rsidRPr="00262BE5">
        <w:rPr>
          <w:rFonts w:ascii="Times New Roman" w:eastAsia="Times New Roman" w:hAnsi="Times New Roman"/>
          <w:sz w:val="24"/>
          <w:szCs w:val="24"/>
          <w:lang w:eastAsia="ru-RU"/>
        </w:rPr>
        <w:t>Федерального закона от 06.12.2011 №402-ФЗ «О бухгалтерском учете»</w:t>
      </w:r>
      <w:r w:rsidRPr="00262BE5">
        <w:rPr>
          <w:rFonts w:ascii="Times New Roman" w:eastAsia="Times New Roman" w:hAnsi="Times New Roman"/>
          <w:bCs/>
          <w:iCs/>
          <w:sz w:val="24"/>
          <w:szCs w:val="24"/>
          <w:lang w:eastAsia="ru-RU"/>
        </w:rPr>
        <w:t xml:space="preserve">, </w:t>
      </w:r>
      <w:hyperlink r:id="rId6" w:history="1">
        <w:r w:rsidRPr="00262BE5">
          <w:rPr>
            <w:rFonts w:ascii="Times New Roman" w:eastAsia="Times New Roman" w:hAnsi="Times New Roman"/>
            <w:bCs/>
            <w:iCs/>
            <w:sz w:val="24"/>
            <w:szCs w:val="24"/>
            <w:lang w:eastAsia="ru-RU"/>
          </w:rPr>
          <w:t>п. 197</w:t>
        </w:r>
      </w:hyperlink>
      <w:r w:rsidRPr="00262BE5">
        <w:rPr>
          <w:rFonts w:ascii="Times New Roman" w:eastAsia="Times New Roman" w:hAnsi="Times New Roman"/>
          <w:bCs/>
          <w:iCs/>
          <w:sz w:val="24"/>
          <w:szCs w:val="24"/>
          <w:lang w:eastAsia="ru-RU"/>
        </w:rPr>
        <w:t xml:space="preserve"> Инструкции № 157н в части </w:t>
      </w:r>
      <w:r w:rsidRPr="00262BE5">
        <w:rPr>
          <w:rFonts w:ascii="Times New Roman" w:eastAsia="Times New Roman" w:hAnsi="Times New Roman"/>
          <w:sz w:val="24"/>
          <w:szCs w:val="24"/>
          <w:lang w:eastAsia="ru-RU"/>
        </w:rPr>
        <w:t xml:space="preserve">не отражения неустойки по четырем муниципальным контрактам. </w:t>
      </w:r>
    </w:p>
    <w:p w:rsidR="00262BE5" w:rsidRPr="00262BE5" w:rsidRDefault="00262BE5" w:rsidP="00262BE5">
      <w:pPr>
        <w:spacing w:after="0" w:line="240" w:lineRule="auto"/>
        <w:ind w:firstLine="567"/>
        <w:contextualSpacing/>
        <w:jc w:val="both"/>
        <w:rPr>
          <w:rFonts w:ascii="Times New Roman" w:eastAsia="Times New Roman" w:hAnsi="Times New Roman"/>
          <w:sz w:val="24"/>
          <w:szCs w:val="24"/>
          <w:lang w:eastAsia="ru-RU"/>
        </w:rPr>
      </w:pPr>
      <w:r w:rsidRPr="00262BE5">
        <w:rPr>
          <w:rFonts w:ascii="Times New Roman" w:eastAsia="Times New Roman" w:hAnsi="Times New Roman"/>
          <w:sz w:val="24"/>
          <w:szCs w:val="24"/>
          <w:lang w:eastAsia="ru-RU"/>
        </w:rPr>
        <w:t>6. Нарушение условий двух договоров в части не направления письменной претензии Исполнителю в отношении оплаты Исполнителем неустойки в связи с не предоставлением услуг.</w:t>
      </w:r>
    </w:p>
    <w:p w:rsidR="00262BE5" w:rsidRPr="00262BE5" w:rsidRDefault="00262BE5" w:rsidP="00262BE5">
      <w:pPr>
        <w:spacing w:after="0" w:line="240" w:lineRule="auto"/>
        <w:ind w:firstLine="567"/>
        <w:contextualSpacing/>
        <w:jc w:val="both"/>
        <w:rPr>
          <w:rFonts w:ascii="Times New Roman" w:hAnsi="Times New Roman"/>
          <w:sz w:val="24"/>
          <w:szCs w:val="24"/>
        </w:rPr>
      </w:pPr>
      <w:r w:rsidRPr="00262BE5">
        <w:rPr>
          <w:rFonts w:ascii="Times New Roman" w:eastAsia="Times New Roman" w:hAnsi="Times New Roman"/>
          <w:sz w:val="24"/>
          <w:szCs w:val="24"/>
          <w:lang w:eastAsia="ru-RU"/>
        </w:rPr>
        <w:t>7. Не обеспечена достоверность данных отчетов</w:t>
      </w:r>
      <w:r w:rsidRPr="00262BE5">
        <w:rPr>
          <w:rFonts w:ascii="Times New Roman" w:hAnsi="Times New Roman"/>
          <w:sz w:val="24"/>
          <w:szCs w:val="24"/>
        </w:rPr>
        <w:t xml:space="preserve"> о расходовании бюджетных средств, направленных на осуществление капитальных вложений в объекты муниципальной </w:t>
      </w:r>
      <w:r w:rsidRPr="00262BE5">
        <w:rPr>
          <w:rFonts w:ascii="Times New Roman" w:hAnsi="Times New Roman"/>
          <w:sz w:val="24"/>
          <w:szCs w:val="24"/>
        </w:rPr>
        <w:lastRenderedPageBreak/>
        <w:t xml:space="preserve">собственности Архангельской области, в целях </w:t>
      </w:r>
      <w:proofErr w:type="spellStart"/>
      <w:r w:rsidRPr="00262BE5">
        <w:rPr>
          <w:rFonts w:ascii="Times New Roman" w:hAnsi="Times New Roman"/>
          <w:sz w:val="24"/>
          <w:szCs w:val="24"/>
        </w:rPr>
        <w:t>софинансирования</w:t>
      </w:r>
      <w:proofErr w:type="spellEnd"/>
      <w:r w:rsidRPr="00262BE5">
        <w:rPr>
          <w:rFonts w:ascii="Times New Roman" w:hAnsi="Times New Roman"/>
          <w:sz w:val="24"/>
          <w:szCs w:val="24"/>
        </w:rPr>
        <w:t xml:space="preserve"> которых предоставляется иной межбюджетный трансферт. </w:t>
      </w:r>
    </w:p>
    <w:p w:rsidR="00262BE5" w:rsidRPr="00262BE5" w:rsidRDefault="00262BE5" w:rsidP="00262BE5">
      <w:pPr>
        <w:spacing w:after="0" w:line="240" w:lineRule="auto"/>
        <w:ind w:firstLine="567"/>
        <w:contextualSpacing/>
        <w:jc w:val="both"/>
        <w:rPr>
          <w:rFonts w:ascii="Times New Roman" w:hAnsi="Times New Roman"/>
          <w:sz w:val="24"/>
          <w:szCs w:val="24"/>
        </w:rPr>
      </w:pPr>
      <w:r w:rsidRPr="00262BE5">
        <w:rPr>
          <w:rFonts w:ascii="Times New Roman" w:hAnsi="Times New Roman"/>
          <w:sz w:val="24"/>
          <w:szCs w:val="24"/>
        </w:rPr>
        <w:t xml:space="preserve">8. Допущены арифметические ошибки при составлении </w:t>
      </w:r>
      <w:r w:rsidRPr="00262BE5">
        <w:rPr>
          <w:rFonts w:ascii="Times New Roman" w:eastAsia="Times New Roman" w:hAnsi="Times New Roman"/>
          <w:sz w:val="24"/>
          <w:szCs w:val="24"/>
          <w:lang w:eastAsia="ru-RU"/>
        </w:rPr>
        <w:t>отчетов</w:t>
      </w:r>
      <w:r w:rsidRPr="00262BE5">
        <w:rPr>
          <w:rFonts w:ascii="Times New Roman" w:hAnsi="Times New Roman"/>
          <w:sz w:val="24"/>
          <w:szCs w:val="24"/>
        </w:rPr>
        <w:t xml:space="preserve"> о расходовании бюджетных средств, направленных на осуществление капитальных вложений в объекты муниципальной собственности Архангельской области, в целях </w:t>
      </w:r>
      <w:proofErr w:type="spellStart"/>
      <w:r w:rsidRPr="00262BE5">
        <w:rPr>
          <w:rFonts w:ascii="Times New Roman" w:hAnsi="Times New Roman"/>
          <w:sz w:val="24"/>
          <w:szCs w:val="24"/>
        </w:rPr>
        <w:t>софинансирования</w:t>
      </w:r>
      <w:proofErr w:type="spellEnd"/>
      <w:r w:rsidRPr="00262BE5">
        <w:rPr>
          <w:rFonts w:ascii="Times New Roman" w:hAnsi="Times New Roman"/>
          <w:sz w:val="24"/>
          <w:szCs w:val="24"/>
        </w:rPr>
        <w:t xml:space="preserve"> которых предоставляется иной межбюджетный трансферт.</w:t>
      </w:r>
    </w:p>
    <w:p w:rsidR="00262BE5" w:rsidRDefault="00262BE5" w:rsidP="00262BE5">
      <w:pPr>
        <w:pStyle w:val="a3"/>
        <w:ind w:firstLine="567"/>
        <w:contextualSpacing/>
        <w:jc w:val="both"/>
        <w:rPr>
          <w:rFonts w:ascii="Times New Roman" w:hAnsi="Times New Roman"/>
          <w:sz w:val="24"/>
          <w:szCs w:val="24"/>
          <w:lang w:eastAsia="ru-RU"/>
        </w:rPr>
      </w:pPr>
    </w:p>
    <w:p w:rsidR="00262BE5" w:rsidRPr="00262BE5" w:rsidRDefault="00262BE5" w:rsidP="00262BE5">
      <w:pPr>
        <w:pStyle w:val="a3"/>
        <w:ind w:firstLine="567"/>
        <w:contextualSpacing/>
        <w:jc w:val="both"/>
        <w:rPr>
          <w:rFonts w:ascii="Times New Roman" w:hAnsi="Times New Roman"/>
          <w:sz w:val="24"/>
          <w:szCs w:val="24"/>
          <w:lang w:eastAsia="ru-RU"/>
        </w:rPr>
      </w:pPr>
      <w:r w:rsidRPr="00262BE5">
        <w:rPr>
          <w:rFonts w:ascii="Times New Roman" w:hAnsi="Times New Roman"/>
          <w:sz w:val="24"/>
          <w:szCs w:val="24"/>
          <w:lang w:eastAsia="ru-RU"/>
        </w:rPr>
        <w:t>В соответствии со статьей 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нарушений в адрес департамента транспорта,</w:t>
      </w:r>
      <w:r w:rsidRPr="00262BE5">
        <w:rPr>
          <w:rFonts w:ascii="Times New Roman" w:hAnsi="Times New Roman"/>
          <w:sz w:val="24"/>
          <w:szCs w:val="24"/>
        </w:rPr>
        <w:t xml:space="preserve"> строительства и городской инфраструктуры Администрации муниципального образования «Город Архангельск»</w:t>
      </w:r>
      <w:r w:rsidRPr="00262BE5">
        <w:rPr>
          <w:rFonts w:ascii="Times New Roman" w:hAnsi="Times New Roman"/>
          <w:sz w:val="24"/>
          <w:szCs w:val="24"/>
          <w:lang w:eastAsia="ru-RU"/>
        </w:rPr>
        <w:t xml:space="preserve"> направлено представление с предложением об устранении выявленных нарушений. Информация о результатах проверки направлена Главе муниципального образования «Город Архангельск», в Архангельскую городскую Думу, прокуратуру города Архангельска.</w:t>
      </w:r>
    </w:p>
    <w:p w:rsidR="00DF7D1D" w:rsidRPr="00262BE5" w:rsidRDefault="00DF7D1D">
      <w:pPr>
        <w:rPr>
          <w:sz w:val="24"/>
          <w:szCs w:val="24"/>
        </w:rPr>
      </w:pPr>
    </w:p>
    <w:sectPr w:rsidR="00DF7D1D" w:rsidRPr="00262BE5" w:rsidSect="00262BE5">
      <w:pgSz w:w="11906" w:h="16838"/>
      <w:pgMar w:top="1134"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E5"/>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2BE5"/>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549C1"/>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53E2"/>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2BE5"/>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62BE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2BE5"/>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62B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373956C050EA9B215516A701D34246E2B3177B23E675025ED1109E9C9A7F2533F53EBC2AF11B7198D9CF64ED63C09D936558026E88E798CRCq5N" TargetMode="External"/><Relationship Id="rId5" Type="http://schemas.openxmlformats.org/officeDocument/2006/relationships/hyperlink" Target="consultantplus://offline/ref=1373956C050EA9B215516A701D34246E2B3370B23E655025ED1109E9C9A7F2533F53EBC2AF13B517809CF64ED63C09D936558026E88E798CRCq5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4</cp:revision>
  <dcterms:created xsi:type="dcterms:W3CDTF">2021-01-12T08:24:00Z</dcterms:created>
  <dcterms:modified xsi:type="dcterms:W3CDTF">2021-01-12T08:29:00Z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