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94" w:rsidRPr="001E2094" w:rsidRDefault="001E2094" w:rsidP="004523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E2094">
        <w:rPr>
          <w:rFonts w:ascii="Times New Roman" w:hAnsi="Times New Roman"/>
          <w:b/>
          <w:sz w:val="25"/>
          <w:szCs w:val="25"/>
        </w:rPr>
        <w:t>Внешняя проверка отчета об исполнении городского бюджета</w:t>
      </w:r>
      <w:r w:rsidRPr="001E2094">
        <w:rPr>
          <w:rFonts w:ascii="Times New Roman" w:hAnsi="Times New Roman" w:cs="Times New Roman"/>
          <w:b/>
          <w:sz w:val="25"/>
          <w:szCs w:val="25"/>
        </w:rPr>
        <w:t xml:space="preserve"> за 2021 год</w:t>
      </w:r>
    </w:p>
    <w:p w:rsidR="001E2094" w:rsidRPr="001E2094" w:rsidRDefault="001E2094" w:rsidP="001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E2094" w:rsidRPr="001E2094" w:rsidRDefault="001E2094" w:rsidP="0082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E2094">
        <w:rPr>
          <w:rFonts w:ascii="Times New Roman" w:hAnsi="Times New Roman" w:cs="Times New Roman"/>
          <w:sz w:val="25"/>
          <w:szCs w:val="25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1E2094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соответствии</w:t>
      </w:r>
      <w:r w:rsidRPr="001E2094">
        <w:rPr>
          <w:rFonts w:ascii="Times New Roman" w:hAnsi="Times New Roman" w:cs="Times New Roman"/>
          <w:sz w:val="25"/>
          <w:szCs w:val="25"/>
        </w:rPr>
        <w:t xml:space="preserve"> с действующим законодательством на отчет об исполнении городского бюджета за 2021 год, представленный </w:t>
      </w:r>
      <w:r w:rsidRPr="001E2094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Администрацией городского округа «Город Архангельск», проведена внешняя проверка.</w:t>
      </w:r>
    </w:p>
    <w:p w:rsidR="001E2094" w:rsidRPr="001E2094" w:rsidRDefault="001E2094" w:rsidP="0082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E2094">
        <w:rPr>
          <w:rFonts w:ascii="Times New Roman" w:hAnsi="Times New Roman" w:cs="Times New Roman"/>
          <w:sz w:val="25"/>
          <w:szCs w:val="25"/>
        </w:rPr>
        <w:t xml:space="preserve">В отчетном периоде первоначально утвержденные параметры городского бюджета уточнены решениями Архангельской городской Думы от 10.02.2021 № 337, от 17.03.2021 № 352, от 23.06.2021 № 414, от 22.09.2021 № 431, от 27.10.2021 № 453 и от 16.12.2021 </w:t>
      </w:r>
      <w:r w:rsidR="00452335">
        <w:rPr>
          <w:rFonts w:ascii="Times New Roman" w:hAnsi="Times New Roman" w:cs="Times New Roman"/>
          <w:sz w:val="25"/>
          <w:szCs w:val="25"/>
        </w:rPr>
        <w:t xml:space="preserve">      </w:t>
      </w:r>
      <w:r w:rsidRPr="001E2094">
        <w:rPr>
          <w:rFonts w:ascii="Times New Roman" w:hAnsi="Times New Roman" w:cs="Times New Roman"/>
          <w:sz w:val="25"/>
          <w:szCs w:val="25"/>
        </w:rPr>
        <w:t xml:space="preserve">№ 495 о внесении изменений в решение Архангельской городской Думы от 10.12.2020 </w:t>
      </w:r>
      <w:r w:rsidR="00452335">
        <w:rPr>
          <w:rFonts w:ascii="Times New Roman" w:hAnsi="Times New Roman" w:cs="Times New Roman"/>
          <w:sz w:val="25"/>
          <w:szCs w:val="25"/>
        </w:rPr>
        <w:t xml:space="preserve">     </w:t>
      </w:r>
      <w:r w:rsidRPr="001E2094">
        <w:rPr>
          <w:rFonts w:ascii="Times New Roman" w:hAnsi="Times New Roman" w:cs="Times New Roman"/>
          <w:sz w:val="25"/>
          <w:szCs w:val="25"/>
        </w:rPr>
        <w:t>№ 325 «О городском бюджете на 2021 год и на плановый период 2022 и 2023 годов» и решениями руководителя</w:t>
      </w:r>
      <w:proofErr w:type="gramEnd"/>
      <w:r w:rsidRPr="001E2094">
        <w:rPr>
          <w:rFonts w:ascii="Times New Roman" w:hAnsi="Times New Roman" w:cs="Times New Roman"/>
          <w:sz w:val="25"/>
          <w:szCs w:val="25"/>
        </w:rPr>
        <w:t xml:space="preserve"> финансового органа </w:t>
      </w:r>
      <w:proofErr w:type="gramStart"/>
      <w:r w:rsidRPr="001E2094">
        <w:rPr>
          <w:rFonts w:ascii="Times New Roman" w:hAnsi="Times New Roman" w:cs="Times New Roman"/>
          <w:sz w:val="25"/>
          <w:szCs w:val="25"/>
        </w:rPr>
        <w:t>о внесении изменений в уточненную сводную бюджетную роспись без внесения изменений в решение о бюджете</w:t>
      </w:r>
      <w:proofErr w:type="gramEnd"/>
      <w:r w:rsidRPr="001E2094">
        <w:rPr>
          <w:rFonts w:ascii="Times New Roman" w:hAnsi="Times New Roman" w:cs="Times New Roman"/>
          <w:sz w:val="25"/>
          <w:szCs w:val="25"/>
        </w:rPr>
        <w:t xml:space="preserve"> на основании ст. 217 Бюджетного кодекса РФ. В результате по состоянию на 01.01.2022 уточненные годовые плановые параметры бюджета составили: по доходам – </w:t>
      </w:r>
      <w:r w:rsidRPr="001E2094">
        <w:rPr>
          <w:rFonts w:ascii="Times New Roman" w:hAnsi="Times New Roman" w:cs="Times New Roman"/>
          <w:color w:val="000000"/>
          <w:sz w:val="25"/>
          <w:szCs w:val="25"/>
        </w:rPr>
        <w:t xml:space="preserve">12 983 124,5 </w:t>
      </w:r>
      <w:r w:rsidRPr="001E2094">
        <w:rPr>
          <w:rFonts w:ascii="Times New Roman" w:hAnsi="Times New Roman" w:cs="Times New Roman"/>
          <w:sz w:val="25"/>
          <w:szCs w:val="25"/>
        </w:rPr>
        <w:t xml:space="preserve">тыс. руб., по расходам – </w:t>
      </w:r>
      <w:r w:rsidRPr="001E2094">
        <w:rPr>
          <w:rFonts w:ascii="Times New Roman" w:hAnsi="Times New Roman" w:cs="Times New Roman"/>
          <w:color w:val="000000"/>
          <w:sz w:val="25"/>
          <w:szCs w:val="25"/>
        </w:rPr>
        <w:t xml:space="preserve">13 846 776,7 </w:t>
      </w:r>
      <w:r w:rsidRPr="001E2094">
        <w:rPr>
          <w:rFonts w:ascii="Times New Roman" w:hAnsi="Times New Roman" w:cs="Times New Roman"/>
          <w:sz w:val="25"/>
          <w:szCs w:val="25"/>
        </w:rPr>
        <w:t xml:space="preserve">тыс. руб., дефицит – </w:t>
      </w:r>
      <w:r w:rsidRPr="001E2094">
        <w:rPr>
          <w:rFonts w:ascii="Times New Roman" w:hAnsi="Times New Roman" w:cs="Times New Roman"/>
          <w:color w:val="000000"/>
          <w:sz w:val="25"/>
          <w:szCs w:val="25"/>
        </w:rPr>
        <w:t>863 652,2</w:t>
      </w:r>
      <w:r w:rsidRPr="001E2094">
        <w:rPr>
          <w:rFonts w:ascii="Times New Roman" w:hAnsi="Times New Roman" w:cs="Times New Roman"/>
          <w:sz w:val="25"/>
          <w:szCs w:val="25"/>
        </w:rPr>
        <w:t xml:space="preserve"> тыс. руб. </w:t>
      </w:r>
    </w:p>
    <w:p w:rsidR="001E2094" w:rsidRPr="001E2094" w:rsidRDefault="001E2094" w:rsidP="0082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E2094">
        <w:rPr>
          <w:rFonts w:ascii="Times New Roman" w:hAnsi="Times New Roman" w:cs="Times New Roman"/>
          <w:sz w:val="25"/>
          <w:szCs w:val="25"/>
        </w:rPr>
        <w:t>Увеличение прогноза доходов в основном связано с получением субсидий, субвенций и иных межбюджетных трансфертов и</w:t>
      </w:r>
      <w:bookmarkStart w:id="0" w:name="_GoBack"/>
      <w:bookmarkEnd w:id="0"/>
      <w:r w:rsidRPr="001E2094">
        <w:rPr>
          <w:rFonts w:ascii="Times New Roman" w:hAnsi="Times New Roman" w:cs="Times New Roman"/>
          <w:sz w:val="25"/>
          <w:szCs w:val="25"/>
        </w:rPr>
        <w:t>з областного бюджета и безвозмездных поступлений от физических и юридических лиц, имеющих целевое назначение, сверх утвержденных объемов.</w:t>
      </w:r>
    </w:p>
    <w:p w:rsidR="001E2094" w:rsidRPr="001E2094" w:rsidRDefault="001E2094" w:rsidP="00826E2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proofErr w:type="gramStart"/>
      <w:r w:rsidRPr="001E2094">
        <w:rPr>
          <w:color w:val="212121"/>
          <w:sz w:val="25"/>
          <w:szCs w:val="25"/>
        </w:rPr>
        <w:t xml:space="preserve">За 2021 год поступление доходов составило </w:t>
      </w:r>
      <w:r w:rsidRPr="001E2094">
        <w:rPr>
          <w:bCs/>
          <w:color w:val="000000"/>
          <w:sz w:val="25"/>
          <w:szCs w:val="25"/>
        </w:rPr>
        <w:t xml:space="preserve">13 311 212,6 </w:t>
      </w:r>
      <w:r w:rsidRPr="001E2094">
        <w:rPr>
          <w:color w:val="212121"/>
          <w:sz w:val="25"/>
          <w:szCs w:val="25"/>
        </w:rPr>
        <w:t xml:space="preserve">тыс. руб. По сравнению с аналогичным периодом 2020 года поступления налоговых и неналоговых доходов выросли на </w:t>
      </w:r>
      <w:r w:rsidRPr="001E2094">
        <w:rPr>
          <w:noProof/>
          <w:sz w:val="25"/>
          <w:szCs w:val="25"/>
        </w:rPr>
        <w:t xml:space="preserve">653 363,2 </w:t>
      </w:r>
      <w:r w:rsidRPr="001E2094">
        <w:rPr>
          <w:color w:val="212121"/>
          <w:sz w:val="25"/>
          <w:szCs w:val="25"/>
        </w:rPr>
        <w:t>тыс. руб. (12,5%) в основном за счет увеличения собираемости налога на доходы физических лиц и налога, взимаемого в связи с применением упрощенной системы налогообложения в связи с увеличением числа налогоплательщиков, выбравших данную систему</w:t>
      </w:r>
      <w:proofErr w:type="gramEnd"/>
      <w:r w:rsidRPr="001E2094">
        <w:rPr>
          <w:color w:val="212121"/>
          <w:sz w:val="25"/>
          <w:szCs w:val="25"/>
        </w:rPr>
        <w:t xml:space="preserve"> налогообложения в связи с отменой единого налога на вмененный доход. Безвозмездные поступления выросли </w:t>
      </w:r>
      <w:r w:rsidRPr="001E2094">
        <w:rPr>
          <w:rFonts w:eastAsia="SimSun"/>
          <w:sz w:val="25"/>
          <w:szCs w:val="25"/>
          <w:lang w:eastAsia="ar-SA"/>
        </w:rPr>
        <w:t xml:space="preserve">по сравнению с аналогичным периодом прошлого года </w:t>
      </w:r>
      <w:r w:rsidRPr="001E2094">
        <w:rPr>
          <w:color w:val="212121"/>
          <w:sz w:val="25"/>
          <w:szCs w:val="25"/>
        </w:rPr>
        <w:t xml:space="preserve">на </w:t>
      </w:r>
      <w:r w:rsidRPr="001E2094">
        <w:rPr>
          <w:rFonts w:eastAsia="SimSun"/>
          <w:sz w:val="25"/>
          <w:szCs w:val="25"/>
          <w:lang w:eastAsia="ar-SA"/>
        </w:rPr>
        <w:t xml:space="preserve">246 093,3 тыс. руб. (на 3,4%) в основном за счет увеличения субвенций </w:t>
      </w:r>
      <w:r w:rsidRPr="001E2094">
        <w:rPr>
          <w:color w:val="212121"/>
          <w:sz w:val="25"/>
          <w:szCs w:val="25"/>
        </w:rPr>
        <w:t>бюджетам бюджетной системы Российской Федерации.</w:t>
      </w:r>
    </w:p>
    <w:p w:rsidR="001E2094" w:rsidRPr="001E2094" w:rsidRDefault="001E2094" w:rsidP="00826E2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1E2094">
        <w:rPr>
          <w:color w:val="212121"/>
          <w:sz w:val="25"/>
          <w:szCs w:val="25"/>
        </w:rPr>
        <w:t>Основная доля в составе доходов (33,2%) приходится на субвенции бюджетам бюджетной системы Российской Федерации и на налог на доходы физических лиц (30,6%).</w:t>
      </w:r>
    </w:p>
    <w:p w:rsidR="001E2094" w:rsidRPr="001E2094" w:rsidRDefault="001E2094" w:rsidP="00826E2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1E2094">
        <w:rPr>
          <w:color w:val="212121"/>
          <w:sz w:val="25"/>
          <w:szCs w:val="25"/>
        </w:rPr>
        <w:t xml:space="preserve">Исполнение плановых назначений по расходам увеличилось по сравнению с 2020 годом на </w:t>
      </w:r>
      <w:r w:rsidRPr="001E2094">
        <w:rPr>
          <w:color w:val="000000"/>
          <w:sz w:val="25"/>
          <w:szCs w:val="25"/>
        </w:rPr>
        <w:t xml:space="preserve">1 049 247,6 </w:t>
      </w:r>
      <w:r w:rsidRPr="001E2094">
        <w:rPr>
          <w:color w:val="212121"/>
          <w:sz w:val="25"/>
          <w:szCs w:val="25"/>
        </w:rPr>
        <w:t>тыс. руб. (на 8,6%) и составило 13 317 215,0 тыс. руб. Основная доля расходов приходится на раздел 07 «Образование» (57,7%).</w:t>
      </w:r>
    </w:p>
    <w:p w:rsidR="001E2094" w:rsidRPr="001E2094" w:rsidRDefault="001E2094" w:rsidP="00826E2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5"/>
          <w:szCs w:val="25"/>
          <w:lang w:eastAsia="ar-SA"/>
        </w:rPr>
      </w:pPr>
      <w:r w:rsidRPr="001E2094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>И</w:t>
      </w:r>
      <w:r w:rsidRPr="001E209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сполнение </w:t>
      </w:r>
      <w:r w:rsidRPr="001E2094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 xml:space="preserve">расходов на реализацию муниципальных </w:t>
      </w:r>
      <w:r w:rsidRPr="001E209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программ за 2021 год составило </w:t>
      </w:r>
      <w:r w:rsidRPr="001E2094">
        <w:rPr>
          <w:rFonts w:ascii="Times New Roman" w:hAnsi="Times New Roman" w:cs="Times New Roman"/>
          <w:bCs/>
          <w:color w:val="000000"/>
          <w:sz w:val="25"/>
          <w:szCs w:val="25"/>
        </w:rPr>
        <w:t>13 192 586,4</w:t>
      </w:r>
      <w:r w:rsidRPr="001E2094">
        <w:rPr>
          <w:b/>
          <w:bCs/>
          <w:color w:val="000000"/>
          <w:sz w:val="25"/>
          <w:szCs w:val="25"/>
        </w:rPr>
        <w:t xml:space="preserve"> </w:t>
      </w:r>
      <w:r w:rsidRPr="001E2094">
        <w:rPr>
          <w:rFonts w:ascii="Times New Roman" w:eastAsia="SimSun" w:hAnsi="Times New Roman" w:cs="Times New Roman"/>
          <w:sz w:val="25"/>
          <w:szCs w:val="25"/>
          <w:lang w:eastAsia="ar-SA"/>
        </w:rPr>
        <w:t>тыс. руб. или 96,2% уточненной сводной бюджетной росписи. При этом основная доля (59,8%) приходится на реализацию МП «Развитие социальной сферы городского округа «Город Архангельск».</w:t>
      </w:r>
    </w:p>
    <w:p w:rsidR="001E2094" w:rsidRPr="001E2094" w:rsidRDefault="001E2094" w:rsidP="0082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  <w:r w:rsidRPr="001E20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Кассовое исполнение городского бюджета за </w:t>
      </w:r>
      <w:r w:rsidRPr="001E209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2021 </w:t>
      </w:r>
      <w:r w:rsidRPr="001E20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 на реализацию национальных/федеральных проектов составило </w:t>
      </w:r>
      <w:r w:rsidRPr="001E2094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1 370 934,8 </w:t>
      </w:r>
      <w:r w:rsidRPr="001E20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руб. или 86,1% от показателей уточненной сводной бюджетной росписи. Основная доля расходов приходится на </w:t>
      </w:r>
      <w:r w:rsidRPr="001E2094">
        <w:rPr>
          <w:rFonts w:ascii="Times New Roman" w:hAnsi="Times New Roman" w:cs="Times New Roman"/>
          <w:bCs/>
          <w:color w:val="000000"/>
          <w:sz w:val="25"/>
          <w:szCs w:val="25"/>
        </w:rPr>
        <w:t>реализацию национальных проектов «Безопасные и качественные автомобильные дороги» (33,7%) и «Жилье и городская среда» (33,1%).</w:t>
      </w:r>
    </w:p>
    <w:p w:rsidR="001E2094" w:rsidRPr="001E2094" w:rsidRDefault="001E2094" w:rsidP="00826E2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  <w:highlight w:val="yellow"/>
        </w:rPr>
      </w:pPr>
      <w:proofErr w:type="gramStart"/>
      <w:r w:rsidRPr="001E2094">
        <w:rPr>
          <w:color w:val="212121"/>
          <w:sz w:val="25"/>
          <w:szCs w:val="25"/>
        </w:rPr>
        <w:t xml:space="preserve">За 2021 год </w:t>
      </w:r>
      <w:r w:rsidRPr="001E2094">
        <w:rPr>
          <w:rFonts w:eastAsia="SimSun"/>
          <w:sz w:val="25"/>
          <w:szCs w:val="25"/>
          <w:lang w:eastAsia="ar-SA"/>
        </w:rPr>
        <w:t xml:space="preserve">на капитальные вложения в объекты муниципальной собственности </w:t>
      </w:r>
      <w:r w:rsidRPr="001E2094">
        <w:rPr>
          <w:color w:val="212121"/>
          <w:sz w:val="25"/>
          <w:szCs w:val="25"/>
        </w:rPr>
        <w:t>осуществлены расходы</w:t>
      </w:r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 xml:space="preserve"> в сумме </w:t>
      </w:r>
      <w:r w:rsidRPr="001E2094">
        <w:rPr>
          <w:bCs/>
          <w:sz w:val="25"/>
          <w:szCs w:val="25"/>
        </w:rPr>
        <w:t>1 209 454,7</w:t>
      </w:r>
      <w:r w:rsidRPr="001E2094">
        <w:rPr>
          <w:b/>
          <w:bCs/>
          <w:sz w:val="25"/>
          <w:szCs w:val="25"/>
        </w:rPr>
        <w:t xml:space="preserve"> </w:t>
      </w:r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 xml:space="preserve">тыс. руб. (88,6% от уточненной сводной бюджетной росписи), в </w:t>
      </w:r>
      <w:proofErr w:type="spellStart"/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>т.ч</w:t>
      </w:r>
      <w:proofErr w:type="spellEnd"/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 xml:space="preserve">. на строительство школы на 860 мест и физкультурно-оздоровительного комплекса в территориальном округе </w:t>
      </w:r>
      <w:proofErr w:type="spellStart"/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>Варавино</w:t>
      </w:r>
      <w:proofErr w:type="spellEnd"/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 xml:space="preserve">-Фактория, двух </w:t>
      </w:r>
      <w:r w:rsidRPr="001E2094">
        <w:rPr>
          <w:sz w:val="25"/>
          <w:szCs w:val="25"/>
        </w:rPr>
        <w:t xml:space="preserve">детских садов на 280 мест в территориальном округе Майская горка, </w:t>
      </w:r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 xml:space="preserve">кладбища в деревне </w:t>
      </w:r>
      <w:proofErr w:type="spellStart"/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>Валдушки</w:t>
      </w:r>
      <w:proofErr w:type="spellEnd"/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>, водоочистных сооружений  на о</w:t>
      </w:r>
      <w:proofErr w:type="gramEnd"/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 xml:space="preserve">. </w:t>
      </w:r>
      <w:proofErr w:type="spellStart"/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>Кего</w:t>
      </w:r>
      <w:proofErr w:type="spellEnd"/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 xml:space="preserve">, дренажно-ливневой канализации по пр. </w:t>
      </w:r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lastRenderedPageBreak/>
        <w:t xml:space="preserve">Никольскому, </w:t>
      </w:r>
      <w:r w:rsidRPr="001E2094">
        <w:rPr>
          <w:sz w:val="25"/>
          <w:szCs w:val="25"/>
        </w:rPr>
        <w:t xml:space="preserve">реконструкцию водопроводной сети в </w:t>
      </w:r>
      <w:proofErr w:type="spellStart"/>
      <w:r w:rsidRPr="001E2094">
        <w:rPr>
          <w:sz w:val="25"/>
          <w:szCs w:val="25"/>
        </w:rPr>
        <w:t>Исакогорском</w:t>
      </w:r>
      <w:proofErr w:type="spellEnd"/>
      <w:r w:rsidRPr="001E2094">
        <w:rPr>
          <w:sz w:val="25"/>
          <w:szCs w:val="25"/>
        </w:rPr>
        <w:t xml:space="preserve"> территориальном округе г. Архангельска</w:t>
      </w:r>
      <w:r w:rsidRPr="001E2094">
        <w:rPr>
          <w:rFonts w:eastAsia="SimSun"/>
          <w:sz w:val="25"/>
          <w:szCs w:val="25"/>
          <w:shd w:val="clear" w:color="auto" w:fill="FFFFFF"/>
          <w:lang w:eastAsia="ar-SA"/>
        </w:rPr>
        <w:t xml:space="preserve">, а также на разработку проектно-сметной документации на строительство воздушных линий электропередачи наружного освещения, </w:t>
      </w:r>
      <w:r w:rsidRPr="001E2094">
        <w:rPr>
          <w:sz w:val="25"/>
          <w:szCs w:val="25"/>
        </w:rPr>
        <w:t>подающего водопровода и водоочистных сооружений.</w:t>
      </w:r>
    </w:p>
    <w:p w:rsidR="001E2094" w:rsidRPr="001E2094" w:rsidRDefault="001E2094" w:rsidP="00826E23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5"/>
          <w:szCs w:val="25"/>
          <w:lang w:eastAsia="ar-SA"/>
        </w:rPr>
      </w:pPr>
      <w:r w:rsidRPr="001E209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За </w:t>
      </w:r>
      <w:r w:rsidRPr="001E209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2021 </w:t>
      </w:r>
      <w:r w:rsidRPr="001E2094">
        <w:rPr>
          <w:rFonts w:ascii="Times New Roman" w:eastAsia="SimSun" w:hAnsi="Times New Roman" w:cs="Times New Roman"/>
          <w:sz w:val="25"/>
          <w:szCs w:val="25"/>
          <w:lang w:eastAsia="ar-SA"/>
        </w:rPr>
        <w:t>год кассовое исполнение на дорожное хозяйство (дорожные фонды) составило 1 215 774,4</w:t>
      </w:r>
      <w:r w:rsidRPr="001E2094">
        <w:rPr>
          <w:rFonts w:eastAsia="SimSun"/>
          <w:sz w:val="25"/>
          <w:szCs w:val="25"/>
          <w:lang w:eastAsia="ar-SA"/>
        </w:rPr>
        <w:t xml:space="preserve"> </w:t>
      </w:r>
      <w:r w:rsidRPr="001E209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тыс. руб., что меньше на </w:t>
      </w:r>
      <w:r w:rsidRPr="001E2094">
        <w:rPr>
          <w:rFonts w:ascii="Times New Roman" w:eastAsia="Calibri" w:hAnsi="Times New Roman" w:cs="Times New Roman"/>
          <w:sz w:val="25"/>
          <w:szCs w:val="25"/>
        </w:rPr>
        <w:t>307 294,8</w:t>
      </w:r>
      <w:r w:rsidRPr="001E2094">
        <w:rPr>
          <w:rFonts w:eastAsia="Calibri"/>
          <w:sz w:val="25"/>
          <w:szCs w:val="25"/>
        </w:rPr>
        <w:t xml:space="preserve"> </w:t>
      </w:r>
      <w:r w:rsidRPr="001E2094">
        <w:rPr>
          <w:rFonts w:ascii="Times New Roman" w:eastAsia="SimSun" w:hAnsi="Times New Roman" w:cs="Times New Roman"/>
          <w:sz w:val="25"/>
          <w:szCs w:val="25"/>
          <w:lang w:eastAsia="ar-SA"/>
        </w:rPr>
        <w:t>тыс. руб. или на 20,2% по сравнению с аналогичным периодом прошлого года.</w:t>
      </w:r>
    </w:p>
    <w:p w:rsidR="001E2094" w:rsidRPr="001E2094" w:rsidRDefault="001E2094" w:rsidP="00826E2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1E2094">
        <w:rPr>
          <w:color w:val="212121"/>
          <w:sz w:val="25"/>
          <w:szCs w:val="25"/>
        </w:rPr>
        <w:t xml:space="preserve">Объем муниципальных заимствований за 2021 год составил 740 000,0 тыс. руб. (банковский кредит), что на 1,3% и в 6,6 раза меньше, чем в 2020 и 2019 годах соответственно. Муниципальный долг городского округа по сравнению с уровнем на начало года уменьшился на 30 000,0 тыс. руб. или на 2,0% и на 01.01.2022 года составил 1 469 000,0 тыс. руб. (кредиты кредитных организаций). </w:t>
      </w:r>
    </w:p>
    <w:p w:rsidR="001E2094" w:rsidRPr="001E2094" w:rsidRDefault="001E2094" w:rsidP="0082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E2094">
        <w:rPr>
          <w:rFonts w:ascii="Times New Roman" w:hAnsi="Times New Roman" w:cs="Times New Roman"/>
          <w:sz w:val="25"/>
          <w:szCs w:val="25"/>
        </w:rPr>
        <w:t xml:space="preserve">По итогам 2021 года сложился дефицит городского бюджета в размере </w:t>
      </w:r>
      <w:r w:rsidRPr="001E2094">
        <w:rPr>
          <w:rFonts w:ascii="Times New Roman" w:hAnsi="Times New Roman" w:cs="Times New Roman"/>
          <w:color w:val="000000"/>
          <w:sz w:val="25"/>
          <w:szCs w:val="25"/>
        </w:rPr>
        <w:t xml:space="preserve">6 002,4 </w:t>
      </w:r>
      <w:r w:rsidRPr="001E2094">
        <w:rPr>
          <w:rFonts w:ascii="Times New Roman" w:hAnsi="Times New Roman" w:cs="Times New Roman"/>
          <w:sz w:val="25"/>
          <w:szCs w:val="25"/>
        </w:rPr>
        <w:t xml:space="preserve">тыс. руб. (по итогам 2020 года сложился профицит в сумме </w:t>
      </w:r>
      <w:r w:rsidRPr="001E2094">
        <w:rPr>
          <w:rFonts w:ascii="Times New Roman" w:hAnsi="Times New Roman" w:cs="Times New Roman"/>
          <w:color w:val="000000"/>
          <w:sz w:val="25"/>
          <w:szCs w:val="25"/>
        </w:rPr>
        <w:t>143 788,7</w:t>
      </w:r>
      <w:r w:rsidRPr="001E2094">
        <w:rPr>
          <w:color w:val="000000"/>
          <w:sz w:val="25"/>
          <w:szCs w:val="25"/>
        </w:rPr>
        <w:t xml:space="preserve"> </w:t>
      </w:r>
      <w:r w:rsidRPr="001E2094">
        <w:rPr>
          <w:rFonts w:ascii="Times New Roman" w:hAnsi="Times New Roman" w:cs="Times New Roman"/>
          <w:color w:val="000000"/>
          <w:sz w:val="25"/>
          <w:szCs w:val="25"/>
        </w:rPr>
        <w:t>тыс. руб.</w:t>
      </w:r>
      <w:r w:rsidRPr="001E2094">
        <w:rPr>
          <w:rFonts w:ascii="Times New Roman" w:hAnsi="Times New Roman" w:cs="Times New Roman"/>
          <w:sz w:val="25"/>
          <w:szCs w:val="25"/>
        </w:rPr>
        <w:t>).</w:t>
      </w:r>
    </w:p>
    <w:p w:rsidR="001E2094" w:rsidRPr="001E2094" w:rsidRDefault="001E2094" w:rsidP="00826E2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1E2094">
        <w:rPr>
          <w:color w:val="212121"/>
          <w:sz w:val="25"/>
          <w:szCs w:val="25"/>
        </w:rPr>
        <w:t xml:space="preserve">Расходы на обслуживание муниципального долга в 2022 году составили </w:t>
      </w:r>
      <w:r w:rsidRPr="001E2094">
        <w:rPr>
          <w:sz w:val="25"/>
          <w:szCs w:val="25"/>
        </w:rPr>
        <w:t xml:space="preserve">94 715,4 </w:t>
      </w:r>
      <w:r w:rsidRPr="001E2094">
        <w:rPr>
          <w:color w:val="212121"/>
          <w:sz w:val="25"/>
          <w:szCs w:val="25"/>
        </w:rPr>
        <w:t>тыс. руб. или 0,7% от общего объема расходов бюджета.</w:t>
      </w:r>
    </w:p>
    <w:p w:rsidR="001E2094" w:rsidRPr="001E2094" w:rsidRDefault="001E2094" w:rsidP="0082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E2094">
        <w:rPr>
          <w:rFonts w:ascii="Times New Roman" w:hAnsi="Times New Roman" w:cs="Times New Roman"/>
          <w:sz w:val="25"/>
          <w:szCs w:val="25"/>
        </w:rPr>
        <w:t xml:space="preserve">В ходе проведения экспертно-аналитического мероприятия при проведении проверки представленной бюджетной отчетности выявлено наличие просроченной дебиторской задолженности по состоянию на 01.01.2022, несоответствие отдельных показателей некоторых форм годовой бухгалтерской отчетности и данных, содержащихся в первичных учетных документах и регистрах бухгалтерского учета (в </w:t>
      </w:r>
      <w:proofErr w:type="spellStart"/>
      <w:r w:rsidRPr="001E2094">
        <w:rPr>
          <w:rFonts w:ascii="Times New Roman" w:hAnsi="Times New Roman" w:cs="Times New Roman"/>
          <w:sz w:val="25"/>
          <w:szCs w:val="25"/>
        </w:rPr>
        <w:t>т.ч</w:t>
      </w:r>
      <w:proofErr w:type="spellEnd"/>
      <w:r w:rsidRPr="001E2094">
        <w:rPr>
          <w:rFonts w:ascii="Times New Roman" w:hAnsi="Times New Roman" w:cs="Times New Roman"/>
          <w:sz w:val="25"/>
          <w:szCs w:val="25"/>
        </w:rPr>
        <w:t>. превышение принятых бюджетных обязательств над утвержденными бюджетными ассигнованиями, доведенных лимитов бюджетных обязательств над бюджетным обязательством, не отражение банковских</w:t>
      </w:r>
      <w:proofErr w:type="gramEnd"/>
      <w:r w:rsidRPr="001E2094">
        <w:rPr>
          <w:rFonts w:ascii="Times New Roman" w:hAnsi="Times New Roman" w:cs="Times New Roman"/>
          <w:sz w:val="25"/>
          <w:szCs w:val="25"/>
        </w:rPr>
        <w:t xml:space="preserve"> гарантий).  </w:t>
      </w:r>
    </w:p>
    <w:p w:rsidR="001E2094" w:rsidRPr="001E2094" w:rsidRDefault="001E2094" w:rsidP="0082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1E2094">
        <w:rPr>
          <w:rFonts w:ascii="Times New Roman" w:eastAsia="Calibri" w:hAnsi="Times New Roman" w:cs="Times New Roman"/>
          <w:sz w:val="25"/>
          <w:szCs w:val="25"/>
        </w:rPr>
        <w:t xml:space="preserve">Выявленные нарушения </w:t>
      </w:r>
      <w:r w:rsidRPr="001E2094">
        <w:rPr>
          <w:rFonts w:ascii="Times New Roman" w:hAnsi="Times New Roman" w:cs="Times New Roman"/>
          <w:sz w:val="25"/>
          <w:szCs w:val="25"/>
        </w:rPr>
        <w:t>не повлияли на достоверность показателей отчета об исполнении городского бюджета на 01.01.2022.</w:t>
      </w:r>
    </w:p>
    <w:p w:rsidR="001E2094" w:rsidRPr="001E2094" w:rsidRDefault="00452335" w:rsidP="00826E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 </w:t>
      </w:r>
      <w:r w:rsidR="001E2094" w:rsidRPr="001E2094">
        <w:rPr>
          <w:rFonts w:ascii="Times New Roman" w:hAnsi="Times New Roman" w:cs="Times New Roman"/>
          <w:noProof/>
          <w:sz w:val="25"/>
          <w:szCs w:val="25"/>
        </w:rPr>
        <w:t xml:space="preserve">По результатам внешней проверки контрольно-счетной палатой </w:t>
      </w:r>
      <w:r w:rsidR="001E2094" w:rsidRPr="001E209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подготовлено </w:t>
      </w:r>
      <w:r w:rsidR="001E2094" w:rsidRPr="001E2094">
        <w:rPr>
          <w:rFonts w:ascii="Times New Roman" w:hAnsi="Times New Roman" w:cs="Times New Roman"/>
          <w:sz w:val="25"/>
          <w:szCs w:val="25"/>
        </w:rPr>
        <w:t xml:space="preserve">и </w:t>
      </w:r>
      <w:r w:rsidR="001E2094" w:rsidRPr="001E2094">
        <w:rPr>
          <w:rFonts w:ascii="Times New Roman" w:hAnsi="Times New Roman" w:cs="Times New Roman"/>
          <w:color w:val="212121"/>
          <w:sz w:val="25"/>
          <w:szCs w:val="25"/>
        </w:rPr>
        <w:t xml:space="preserve">направлено в Архангельскую городскую Думу и Главе города заключение на </w:t>
      </w:r>
      <w:r w:rsidR="001E2094" w:rsidRPr="001E2094">
        <w:rPr>
          <w:rFonts w:ascii="Times New Roman" w:hAnsi="Times New Roman" w:cs="Times New Roman"/>
          <w:noProof/>
          <w:sz w:val="25"/>
          <w:szCs w:val="25"/>
        </w:rPr>
        <w:t>отчет об исполнении городского бюджета за 2021 год.</w:t>
      </w:r>
    </w:p>
    <w:p w:rsidR="00DF7D1D" w:rsidRPr="001E2094" w:rsidRDefault="00DF7D1D">
      <w:pPr>
        <w:rPr>
          <w:sz w:val="25"/>
          <w:szCs w:val="25"/>
        </w:rPr>
      </w:pPr>
    </w:p>
    <w:sectPr w:rsidR="00DF7D1D" w:rsidRPr="001E2094" w:rsidSect="001E209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94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094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33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6E23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46B04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5896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Юрьевна Знатных</dc:creator>
  <cp:lastModifiedBy>Анна Юрьевна Знатных</cp:lastModifiedBy>
  <cp:revision>87</cp:revision>
  <dcterms:created xsi:type="dcterms:W3CDTF">2023-07-05T09:18:00Z</dcterms:created>
  <dcterms:modified xsi:type="dcterms:W3CDTF">2023-07-05T09:21:00Z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