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8D" w:rsidRDefault="00371E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1E8D" w:rsidRDefault="00371E8D">
      <w:pPr>
        <w:pStyle w:val="ConsPlusNormal"/>
        <w:outlineLvl w:val="0"/>
      </w:pPr>
    </w:p>
    <w:p w:rsidR="00371E8D" w:rsidRDefault="00371E8D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371E8D" w:rsidRDefault="00371E8D">
      <w:pPr>
        <w:pStyle w:val="ConsPlusTitle"/>
        <w:jc w:val="center"/>
      </w:pPr>
    </w:p>
    <w:p w:rsidR="00371E8D" w:rsidRDefault="00371E8D">
      <w:pPr>
        <w:pStyle w:val="ConsPlusTitle"/>
        <w:jc w:val="center"/>
      </w:pPr>
      <w:r>
        <w:t>РАСПОРЯЖЕНИЕ</w:t>
      </w:r>
    </w:p>
    <w:p w:rsidR="00371E8D" w:rsidRDefault="00371E8D">
      <w:pPr>
        <w:pStyle w:val="ConsPlusTitle"/>
        <w:jc w:val="center"/>
      </w:pPr>
      <w:r>
        <w:t>от 7 марта 2018 г. N Р-130</w:t>
      </w:r>
    </w:p>
    <w:p w:rsidR="00371E8D" w:rsidRDefault="00371E8D">
      <w:pPr>
        <w:pStyle w:val="ConsPlusTitle"/>
        <w:jc w:val="center"/>
      </w:pPr>
    </w:p>
    <w:p w:rsidR="00371E8D" w:rsidRDefault="00371E8D">
      <w:pPr>
        <w:pStyle w:val="ConsPlusTitle"/>
        <w:jc w:val="center"/>
      </w:pPr>
      <w:r>
        <w:t>ОБ УТВЕРЖДЕНИИ ПЕРЕЧНЯ</w:t>
      </w:r>
    </w:p>
    <w:p w:rsidR="00371E8D" w:rsidRDefault="00371E8D">
      <w:pPr>
        <w:pStyle w:val="ConsPlusTitle"/>
        <w:jc w:val="center"/>
      </w:pPr>
      <w:r>
        <w:t>ПОКАЗАТЕЛЕЙ, ХАРАКТЕРИЗУЮЩИХ ЭФФЕКТИВНОСТЬ ЗАКУПОК ТОВАРОВ,</w:t>
      </w:r>
    </w:p>
    <w:p w:rsidR="00371E8D" w:rsidRDefault="00371E8D">
      <w:pPr>
        <w:pStyle w:val="ConsPlusTitle"/>
        <w:jc w:val="center"/>
      </w:pPr>
      <w:r>
        <w:t>РАБОТ, УСЛУГ, В ТОМ ЧИСЛЕ ПОДВЕДОМСТВЕННЫМИ ОРГАНИЗАЦИЯМИ</w:t>
      </w:r>
    </w:p>
    <w:p w:rsidR="00371E8D" w:rsidRDefault="00371E8D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371E8D" w:rsidRDefault="00371E8D">
      <w:pPr>
        <w:pStyle w:val="ConsPlusNormal"/>
        <w:jc w:val="center"/>
      </w:pPr>
    </w:p>
    <w:p w:rsidR="00371E8D" w:rsidRDefault="00371E8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абзацем 3 подпункта "г" пункта 2</w:t>
        </w:r>
      </w:hyperlink>
      <w:r>
        <w:t xml:space="preserve">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</w:t>
      </w:r>
      <w:proofErr w:type="gramEnd"/>
      <w:r>
        <w:t xml:space="preserve"> государственных и муниципальных нужд", </w:t>
      </w:r>
      <w:hyperlink r:id="rId8" w:history="1">
        <w:r>
          <w:rPr>
            <w:color w:val="0000FF"/>
          </w:rPr>
          <w:t>подпунктом 5.3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466, а также в целях укрепления национальной экономики и дальнейшего развития конкуренции и недопущения монополистической деятельности:</w:t>
      </w:r>
    </w:p>
    <w:p w:rsidR="00371E8D" w:rsidRDefault="00371E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показателей, характеризующих эффективность закупок товаров, работ, услуг, в том числе подведомственными организациями Министерства образования и науки Российской Федерации.</w:t>
      </w:r>
    </w:p>
    <w:p w:rsidR="00371E8D" w:rsidRDefault="00371E8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настоящим распоряжением оставляю за собой.</w:t>
      </w: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jc w:val="right"/>
      </w:pPr>
      <w:r>
        <w:t>Первый заместитель Министра</w:t>
      </w:r>
    </w:p>
    <w:p w:rsidR="00371E8D" w:rsidRDefault="00371E8D">
      <w:pPr>
        <w:pStyle w:val="ConsPlusNormal"/>
        <w:jc w:val="right"/>
      </w:pPr>
      <w:r>
        <w:t>В.В.ПЕРЕВЕРЗЕВА</w:t>
      </w: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jc w:val="right"/>
        <w:outlineLvl w:val="0"/>
      </w:pPr>
      <w:r>
        <w:t>Приложение</w:t>
      </w: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jc w:val="right"/>
      </w:pPr>
      <w:r>
        <w:t>Утвержден</w:t>
      </w:r>
    </w:p>
    <w:p w:rsidR="00371E8D" w:rsidRDefault="00371E8D">
      <w:pPr>
        <w:pStyle w:val="ConsPlusNormal"/>
        <w:jc w:val="right"/>
      </w:pPr>
      <w:r>
        <w:t>распоряжением Министерства</w:t>
      </w:r>
    </w:p>
    <w:p w:rsidR="00371E8D" w:rsidRDefault="00371E8D">
      <w:pPr>
        <w:pStyle w:val="ConsPlusNormal"/>
        <w:jc w:val="right"/>
      </w:pPr>
      <w:r>
        <w:t>образования и науки</w:t>
      </w:r>
    </w:p>
    <w:p w:rsidR="00371E8D" w:rsidRDefault="00371E8D">
      <w:pPr>
        <w:pStyle w:val="ConsPlusNormal"/>
        <w:jc w:val="right"/>
      </w:pPr>
      <w:r>
        <w:t>Российской Федерации</w:t>
      </w:r>
    </w:p>
    <w:p w:rsidR="00371E8D" w:rsidRDefault="00371E8D">
      <w:pPr>
        <w:pStyle w:val="ConsPlusNormal"/>
        <w:jc w:val="right"/>
      </w:pPr>
      <w:r>
        <w:t>от 7 марта 2018 г. N Р-130</w:t>
      </w: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Title"/>
        <w:jc w:val="center"/>
      </w:pPr>
      <w:bookmarkStart w:id="0" w:name="P30"/>
      <w:bookmarkEnd w:id="0"/>
      <w:r>
        <w:t>ПЕРЕЧЕНЬ</w:t>
      </w:r>
    </w:p>
    <w:p w:rsidR="00371E8D" w:rsidRDefault="00371E8D">
      <w:pPr>
        <w:pStyle w:val="ConsPlusTitle"/>
        <w:jc w:val="center"/>
      </w:pPr>
      <w:r>
        <w:t>ПОКАЗАТЕЛЕЙ, ХАРАКТЕРИЗУЮЩИХ ЭФФЕКТИВНОСТЬ ЗАКУПОК ТОВАРОВ,</w:t>
      </w:r>
    </w:p>
    <w:p w:rsidR="00371E8D" w:rsidRDefault="00371E8D">
      <w:pPr>
        <w:pStyle w:val="ConsPlusTitle"/>
        <w:jc w:val="center"/>
      </w:pPr>
      <w:r>
        <w:t>РАБОТ, УСЛУГ, В ТОМ ЧИСЛЕ ПОДВЕДОМСТВЕННЫМИ ОРГАНИЗАЦИЯМИ</w:t>
      </w:r>
    </w:p>
    <w:p w:rsidR="00371E8D" w:rsidRDefault="00371E8D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371E8D" w:rsidRDefault="00371E8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2041"/>
        <w:gridCol w:w="2890"/>
        <w:gridCol w:w="1417"/>
      </w:tblGrid>
      <w:tr w:rsidR="00371E8D">
        <w:tc>
          <w:tcPr>
            <w:tcW w:w="510" w:type="dxa"/>
          </w:tcPr>
          <w:p w:rsidR="00371E8D" w:rsidRDefault="00371E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371E8D" w:rsidRDefault="00371E8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Исходные данные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Источник исходных данных</w:t>
            </w:r>
          </w:p>
        </w:tc>
        <w:tc>
          <w:tcPr>
            <w:tcW w:w="1417" w:type="dxa"/>
          </w:tcPr>
          <w:p w:rsidR="00371E8D" w:rsidRDefault="00371E8D">
            <w:pPr>
              <w:pStyle w:val="ConsPlusNormal"/>
              <w:jc w:val="center"/>
            </w:pPr>
            <w:r>
              <w:t>Формулы измерения</w:t>
            </w:r>
          </w:p>
        </w:tc>
      </w:tr>
      <w:tr w:rsidR="00371E8D">
        <w:tc>
          <w:tcPr>
            <w:tcW w:w="510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Merge w:val="restart"/>
          </w:tcPr>
          <w:p w:rsidR="00371E8D" w:rsidRDefault="00371E8D">
            <w:pPr>
              <w:pStyle w:val="ConsPlusNormal"/>
              <w:jc w:val="both"/>
            </w:pPr>
            <w:r>
              <w:t xml:space="preserve">Доля закупок с нарушениями </w:t>
            </w:r>
            <w:r>
              <w:lastRenderedPageBreak/>
              <w:t>установленного порядка планирования (осуществление внеплановых закупок, неосуществление закупок по плану закупок и (или) плану-графику закупок</w:t>
            </w:r>
            <w:proofErr w:type="gramStart"/>
            <w:r>
              <w:t>) (%)</w:t>
            </w:r>
            <w:proofErr w:type="gramEnd"/>
          </w:p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lastRenderedPageBreak/>
              <w:t xml:space="preserve">Количество закупок, осуществленных с </w:t>
            </w:r>
            <w:r>
              <w:lastRenderedPageBreak/>
              <w:t>нарушениями их планирования (Q1),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lastRenderedPageBreak/>
              <w:t>Информация о закупках в плане закупок и (или) плане-</w:t>
            </w:r>
            <w:r>
              <w:lastRenderedPageBreak/>
              <w:t>графике закупок, в том числе в контрактах, заключенных с единственным поставщиком (подрядчиком, исполнителем)</w:t>
            </w:r>
          </w:p>
        </w:tc>
        <w:tc>
          <w:tcPr>
            <w:tcW w:w="1417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lastRenderedPageBreak/>
              <w:t>P1 = (Q1 / Q2) * 100%</w:t>
            </w:r>
          </w:p>
        </w:tc>
      </w:tr>
      <w:tr w:rsidR="00371E8D">
        <w:tc>
          <w:tcPr>
            <w:tcW w:w="510" w:type="dxa"/>
            <w:vMerge/>
          </w:tcPr>
          <w:p w:rsidR="00371E8D" w:rsidRDefault="00371E8D"/>
        </w:tc>
        <w:tc>
          <w:tcPr>
            <w:tcW w:w="2211" w:type="dxa"/>
            <w:vMerge/>
          </w:tcPr>
          <w:p w:rsidR="00371E8D" w:rsidRDefault="00371E8D"/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Количество закупок, запланированных в отчетном периоде (Q2)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Информация о закупках в плане-графике закупок и (или) плане закупок</w:t>
            </w:r>
          </w:p>
        </w:tc>
        <w:tc>
          <w:tcPr>
            <w:tcW w:w="1417" w:type="dxa"/>
            <w:vMerge/>
          </w:tcPr>
          <w:p w:rsidR="00371E8D" w:rsidRDefault="00371E8D"/>
        </w:tc>
      </w:tr>
      <w:tr w:rsidR="00371E8D">
        <w:tc>
          <w:tcPr>
            <w:tcW w:w="510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vMerge w:val="restart"/>
          </w:tcPr>
          <w:p w:rsidR="00371E8D" w:rsidRDefault="00371E8D">
            <w:pPr>
              <w:pStyle w:val="ConsPlusNormal"/>
              <w:jc w:val="both"/>
            </w:pPr>
            <w:r>
              <w:t>Экономия расходования средств бюджета по результатам процедур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Сумма начальных (максимальных) цен контрактов, цен контрактов, заключаемых с единственным поставщиком (подрядчиком, исполнителем) (S1)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Информация о начальных (максимальных) ценах контракта, ценах контрактов, заключаемых с единственным поставщиком (подрядчиком, исполнителем), в плане-графике закупок, отчетность заказчика по обоснованию начальных максимальных цен контрактов</w:t>
            </w:r>
          </w:p>
        </w:tc>
        <w:tc>
          <w:tcPr>
            <w:tcW w:w="1417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P2 = (S1 - S2 / S1) * 100%</w:t>
            </w:r>
          </w:p>
        </w:tc>
      </w:tr>
      <w:tr w:rsidR="00371E8D">
        <w:tc>
          <w:tcPr>
            <w:tcW w:w="510" w:type="dxa"/>
            <w:vMerge/>
          </w:tcPr>
          <w:p w:rsidR="00371E8D" w:rsidRDefault="00371E8D"/>
        </w:tc>
        <w:tc>
          <w:tcPr>
            <w:tcW w:w="2211" w:type="dxa"/>
            <w:vMerge/>
          </w:tcPr>
          <w:p w:rsidR="00371E8D" w:rsidRDefault="00371E8D"/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Сумма цен заключенных контрактов по результатам процедур в отчетном периоде (S2)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Информация о заключенных контрактах в реестре контрактов, отчетность заказчика</w:t>
            </w:r>
          </w:p>
        </w:tc>
        <w:tc>
          <w:tcPr>
            <w:tcW w:w="1417" w:type="dxa"/>
            <w:vMerge/>
          </w:tcPr>
          <w:p w:rsidR="00371E8D" w:rsidRDefault="00371E8D"/>
        </w:tc>
      </w:tr>
      <w:tr w:rsidR="00371E8D">
        <w:tc>
          <w:tcPr>
            <w:tcW w:w="510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vMerge w:val="restart"/>
          </w:tcPr>
          <w:p w:rsidR="00371E8D" w:rsidRDefault="00371E8D">
            <w:pPr>
              <w:pStyle w:val="ConsPlusNormal"/>
              <w:jc w:val="both"/>
            </w:pPr>
            <w:r>
              <w:t>Доля контрактов, заключенных по результатам состоявшихся конкурентных процедур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Количество контрактов, заключенных в отчетном периоде по результатам состоявшихся конкурентных процедур (Q1)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Информация о заключенных контрактах в реестре контрактов, отчетность заказчика</w:t>
            </w:r>
          </w:p>
        </w:tc>
        <w:tc>
          <w:tcPr>
            <w:tcW w:w="1417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P3 = (Q1 / Q2) * 100%</w:t>
            </w:r>
          </w:p>
        </w:tc>
      </w:tr>
      <w:tr w:rsidR="00371E8D">
        <w:tc>
          <w:tcPr>
            <w:tcW w:w="510" w:type="dxa"/>
            <w:vMerge/>
          </w:tcPr>
          <w:p w:rsidR="00371E8D" w:rsidRDefault="00371E8D"/>
        </w:tc>
        <w:tc>
          <w:tcPr>
            <w:tcW w:w="2211" w:type="dxa"/>
            <w:vMerge/>
          </w:tcPr>
          <w:p w:rsidR="00371E8D" w:rsidRDefault="00371E8D"/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Общее количество контрактов, заключенных в отчетном периоде по результатам всех процедур (включая неконкурентные процедуры) (Q2)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Информация о заключенных контрактах в реестре контрактов, отчетность заказчика</w:t>
            </w:r>
          </w:p>
        </w:tc>
        <w:tc>
          <w:tcPr>
            <w:tcW w:w="1417" w:type="dxa"/>
            <w:vMerge/>
          </w:tcPr>
          <w:p w:rsidR="00371E8D" w:rsidRDefault="00371E8D"/>
        </w:tc>
      </w:tr>
      <w:tr w:rsidR="00371E8D">
        <w:tc>
          <w:tcPr>
            <w:tcW w:w="510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vMerge w:val="restart"/>
          </w:tcPr>
          <w:p w:rsidR="00371E8D" w:rsidRDefault="00371E8D">
            <w:pPr>
              <w:pStyle w:val="ConsPlusNormal"/>
              <w:jc w:val="both"/>
            </w:pPr>
            <w:r>
              <w:t xml:space="preserve">Среднее количество заявок участников закупки, поданных на участие в конкурентных </w:t>
            </w:r>
            <w:r>
              <w:lastRenderedPageBreak/>
              <w:t>процедурах (шт.)</w:t>
            </w:r>
          </w:p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lastRenderedPageBreak/>
              <w:t xml:space="preserve">Количество заявок участников закупки, поданных на участие в конкурентных </w:t>
            </w:r>
            <w:r>
              <w:lastRenderedPageBreak/>
              <w:t>процедурах (Q1)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lastRenderedPageBreak/>
              <w:t>Информация в протоколах комиссии по осуществлению закупок</w:t>
            </w:r>
          </w:p>
        </w:tc>
        <w:tc>
          <w:tcPr>
            <w:tcW w:w="1417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P4 = (Q1 / Q2) * 100%</w:t>
            </w:r>
          </w:p>
        </w:tc>
      </w:tr>
      <w:tr w:rsidR="00371E8D">
        <w:tc>
          <w:tcPr>
            <w:tcW w:w="510" w:type="dxa"/>
            <w:vMerge/>
          </w:tcPr>
          <w:p w:rsidR="00371E8D" w:rsidRDefault="00371E8D"/>
        </w:tc>
        <w:tc>
          <w:tcPr>
            <w:tcW w:w="2211" w:type="dxa"/>
            <w:vMerge/>
          </w:tcPr>
          <w:p w:rsidR="00371E8D" w:rsidRDefault="00371E8D"/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Количество проведенных конкурентных процедур в отчетном периоде (Q2)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Информация в протоколах комиссии по осуществлению закупок</w:t>
            </w:r>
          </w:p>
        </w:tc>
        <w:tc>
          <w:tcPr>
            <w:tcW w:w="1417" w:type="dxa"/>
            <w:vMerge/>
          </w:tcPr>
          <w:p w:rsidR="00371E8D" w:rsidRDefault="00371E8D"/>
        </w:tc>
      </w:tr>
      <w:tr w:rsidR="00371E8D">
        <w:tc>
          <w:tcPr>
            <w:tcW w:w="510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  <w:vMerge w:val="restart"/>
          </w:tcPr>
          <w:p w:rsidR="00371E8D" w:rsidRDefault="00371E8D">
            <w:pPr>
              <w:pStyle w:val="ConsPlusNormal"/>
              <w:jc w:val="both"/>
            </w:pPr>
            <w:r>
              <w:t>Доля контрактов, при исполнении которых есть нарушения исполнения обязательств по контракту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Количество контрактов, при исполнении которых в отчетном периоде есть нарушения исполнения обязательств по контракту (Q1)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Информация об исполнении контракта в реестре контрактов, отчетность заказчика</w:t>
            </w:r>
          </w:p>
        </w:tc>
        <w:tc>
          <w:tcPr>
            <w:tcW w:w="1417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P5 = (Q1 / Q2) * 100%</w:t>
            </w:r>
          </w:p>
        </w:tc>
      </w:tr>
      <w:tr w:rsidR="00371E8D">
        <w:tc>
          <w:tcPr>
            <w:tcW w:w="510" w:type="dxa"/>
            <w:vMerge/>
          </w:tcPr>
          <w:p w:rsidR="00371E8D" w:rsidRDefault="00371E8D"/>
        </w:tc>
        <w:tc>
          <w:tcPr>
            <w:tcW w:w="2211" w:type="dxa"/>
            <w:vMerge/>
          </w:tcPr>
          <w:p w:rsidR="00371E8D" w:rsidRDefault="00371E8D"/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Количество контрактов, исполненных в отчетном периоде (Q2)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Информация об исполнении контракта в реестре контрактов, отчетность заказчика</w:t>
            </w:r>
          </w:p>
        </w:tc>
        <w:tc>
          <w:tcPr>
            <w:tcW w:w="1417" w:type="dxa"/>
            <w:vMerge/>
          </w:tcPr>
          <w:p w:rsidR="00371E8D" w:rsidRDefault="00371E8D"/>
        </w:tc>
      </w:tr>
      <w:tr w:rsidR="00371E8D">
        <w:tc>
          <w:tcPr>
            <w:tcW w:w="510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  <w:vMerge w:val="restart"/>
          </w:tcPr>
          <w:p w:rsidR="00371E8D" w:rsidRDefault="00371E8D">
            <w:pPr>
              <w:pStyle w:val="ConsPlusNormal"/>
              <w:jc w:val="both"/>
            </w:pPr>
            <w:r>
              <w:t>Доля обоснованных жалоб на действия (бездействие) заказчика при проведении процедур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Количество обоснованных жалоб на действия (бездействие) заказчика при проведении процедур (Q1)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Решения ФАС России</w:t>
            </w:r>
          </w:p>
        </w:tc>
        <w:tc>
          <w:tcPr>
            <w:tcW w:w="1417" w:type="dxa"/>
            <w:vMerge w:val="restart"/>
          </w:tcPr>
          <w:p w:rsidR="00371E8D" w:rsidRDefault="00371E8D">
            <w:pPr>
              <w:pStyle w:val="ConsPlusNormal"/>
              <w:jc w:val="center"/>
            </w:pPr>
            <w:r>
              <w:t>P6 = (Q1 / Q2) * 100%</w:t>
            </w:r>
          </w:p>
        </w:tc>
      </w:tr>
      <w:tr w:rsidR="00371E8D">
        <w:tc>
          <w:tcPr>
            <w:tcW w:w="510" w:type="dxa"/>
            <w:vMerge/>
          </w:tcPr>
          <w:p w:rsidR="00371E8D" w:rsidRDefault="00371E8D"/>
        </w:tc>
        <w:tc>
          <w:tcPr>
            <w:tcW w:w="2211" w:type="dxa"/>
            <w:vMerge/>
          </w:tcPr>
          <w:p w:rsidR="00371E8D" w:rsidRDefault="00371E8D"/>
        </w:tc>
        <w:tc>
          <w:tcPr>
            <w:tcW w:w="2041" w:type="dxa"/>
          </w:tcPr>
          <w:p w:rsidR="00371E8D" w:rsidRDefault="00371E8D">
            <w:pPr>
              <w:pStyle w:val="ConsPlusNormal"/>
              <w:jc w:val="center"/>
            </w:pPr>
            <w:r>
              <w:t>Количество поданных жалоб на действия (бездействие) заказчика при проведении процедур в отчетном периоде (Q2)</w:t>
            </w:r>
          </w:p>
        </w:tc>
        <w:tc>
          <w:tcPr>
            <w:tcW w:w="2890" w:type="dxa"/>
          </w:tcPr>
          <w:p w:rsidR="00371E8D" w:rsidRDefault="00371E8D">
            <w:pPr>
              <w:pStyle w:val="ConsPlusNormal"/>
              <w:jc w:val="center"/>
            </w:pPr>
            <w:r>
              <w:t>Уведомления ФАС России</w:t>
            </w:r>
          </w:p>
        </w:tc>
        <w:tc>
          <w:tcPr>
            <w:tcW w:w="1417" w:type="dxa"/>
            <w:vMerge/>
          </w:tcPr>
          <w:p w:rsidR="00371E8D" w:rsidRDefault="00371E8D"/>
        </w:tc>
      </w:tr>
    </w:tbl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jc w:val="both"/>
      </w:pPr>
    </w:p>
    <w:p w:rsidR="00371E8D" w:rsidRDefault="00371E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010" w:rsidRDefault="00242010">
      <w:bookmarkStart w:id="1" w:name="_GoBack"/>
      <w:bookmarkEnd w:id="1"/>
    </w:p>
    <w:sectPr w:rsidR="00242010" w:rsidSect="008E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8D"/>
    <w:rsid w:val="00242010"/>
    <w:rsid w:val="003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5790623ED3950BB86B19B9971E4FF8D754F83790BA7C0711593381D3974E043DF61pEM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5790623ED3950BB86B19B9971E4FF8D7E4881750FA7C0711593381D3974E043DF61E1C0E425C2p0M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5790623ED3950BB86B19B9971E4FF8D744C82750EA7C0711593381D3974E043DF61E1C0E425C2p0MB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2018-06-22T10:12:00Z</dcterms:created>
  <dcterms:modified xsi:type="dcterms:W3CDTF">2018-06-22T10:12:00Z</dcterms:modified>
</cp:coreProperties>
</file>