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FC" w:rsidRDefault="00FA2BFC">
      <w:pPr>
        <w:pStyle w:val="ConsPlusTitlePage"/>
      </w:pPr>
      <w:r>
        <w:t xml:space="preserve">Документ предоставлен </w:t>
      </w:r>
      <w:hyperlink r:id="rId5" w:history="1">
        <w:r>
          <w:rPr>
            <w:color w:val="0000FF"/>
          </w:rPr>
          <w:t>КонсультантПлюс</w:t>
        </w:r>
      </w:hyperlink>
      <w:r>
        <w:br/>
      </w:r>
    </w:p>
    <w:p w:rsidR="00FA2BFC" w:rsidRDefault="00FA2BFC">
      <w:pPr>
        <w:pStyle w:val="ConsPlusNormal"/>
        <w:jc w:val="both"/>
      </w:pPr>
    </w:p>
    <w:p w:rsidR="00FA2BFC" w:rsidRDefault="00FA2BFC">
      <w:pPr>
        <w:pStyle w:val="ConsPlusNormal"/>
        <w:ind w:firstLine="540"/>
        <w:jc w:val="both"/>
      </w:pPr>
      <w:r>
        <w:rPr>
          <w:b/>
        </w:rPr>
        <w:t>Вопрос:</w:t>
      </w:r>
      <w:r>
        <w:t xml:space="preserve"> О расчете неустойки в случае просрочки исполнения поставщиком (подрядчиком, исполнителем) обязательств по контракту.</w:t>
      </w:r>
    </w:p>
    <w:p w:rsidR="00FA2BFC" w:rsidRDefault="00FA2BFC">
      <w:pPr>
        <w:pStyle w:val="ConsPlusNormal"/>
        <w:jc w:val="both"/>
      </w:pPr>
    </w:p>
    <w:p w:rsidR="00FA2BFC" w:rsidRDefault="00FA2BFC">
      <w:pPr>
        <w:pStyle w:val="ConsPlusNormal"/>
        <w:ind w:firstLine="540"/>
        <w:jc w:val="both"/>
      </w:pPr>
      <w:r>
        <w:rPr>
          <w:b/>
        </w:rPr>
        <w:t>Ответ:</w:t>
      </w:r>
    </w:p>
    <w:p w:rsidR="00FA2BFC" w:rsidRDefault="00FA2BFC">
      <w:pPr>
        <w:pStyle w:val="ConsPlusTitle"/>
        <w:jc w:val="center"/>
      </w:pPr>
      <w:r>
        <w:t>МИНИСТЕРСТВО ФИНАНСОВ РОССИЙСКОЙ ФЕДЕРАЦИИ</w:t>
      </w:r>
    </w:p>
    <w:p w:rsidR="00FA2BFC" w:rsidRDefault="00FA2BFC">
      <w:pPr>
        <w:pStyle w:val="ConsPlusTitle"/>
        <w:jc w:val="center"/>
      </w:pPr>
    </w:p>
    <w:p w:rsidR="00FA2BFC" w:rsidRDefault="00FA2BFC">
      <w:pPr>
        <w:pStyle w:val="ConsPlusTitle"/>
        <w:jc w:val="center"/>
      </w:pPr>
      <w:r>
        <w:t>ПИСЬМО</w:t>
      </w:r>
    </w:p>
    <w:p w:rsidR="00FA2BFC" w:rsidRDefault="00FA2BFC">
      <w:pPr>
        <w:pStyle w:val="ConsPlusTitle"/>
        <w:jc w:val="center"/>
      </w:pPr>
      <w:r>
        <w:t>от 13 апреля 2016 г. N 02-04-06/21780</w:t>
      </w:r>
    </w:p>
    <w:p w:rsidR="00FA2BFC" w:rsidRDefault="00FA2BFC">
      <w:pPr>
        <w:pStyle w:val="ConsPlusNormal"/>
        <w:jc w:val="both"/>
      </w:pPr>
    </w:p>
    <w:p w:rsidR="00FA2BFC" w:rsidRDefault="00FA2BFC">
      <w:pPr>
        <w:pStyle w:val="ConsPlusNormal"/>
        <w:ind w:firstLine="540"/>
        <w:jc w:val="both"/>
      </w:pPr>
      <w:r>
        <w:t>Департамент бюджетной методологии Министерства финансов Российской Федерации (далее - Департамент) рассмотрел обращение по вопросу разъяснения порядка расчета неустойки в случае просрочки исполнения поставщиком (подрядчиком, исполнителем) обязательств, предусмотренных контрактом, и сообщает.</w:t>
      </w:r>
    </w:p>
    <w:p w:rsidR="00FA2BFC" w:rsidRDefault="00FA2BFC">
      <w:pPr>
        <w:pStyle w:val="ConsPlusNormal"/>
        <w:ind w:firstLine="540"/>
        <w:jc w:val="both"/>
      </w:pPr>
      <w:proofErr w:type="gramStart"/>
      <w:r>
        <w:t xml:space="preserve">В соответствии с </w:t>
      </w:r>
      <w:hyperlink r:id="rId6" w:history="1">
        <w:r>
          <w:rPr>
            <w:color w:val="0000FF"/>
          </w:rPr>
          <w:t>частью 7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w:t>
      </w:r>
      <w:proofErr w:type="gramEnd"/>
      <w:r>
        <w:t xml:space="preserve">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A2BFC" w:rsidRDefault="00FA2BFC">
      <w:pPr>
        <w:pStyle w:val="ConsPlusNormal"/>
        <w:ind w:firstLine="540"/>
        <w:jc w:val="both"/>
      </w:pPr>
      <w:r>
        <w:t>Таким образом, независимо от выходного (праздничного или непраздничного)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FA2BFC" w:rsidRDefault="00FA2BFC">
      <w:pPr>
        <w:pStyle w:val="ConsPlusNormal"/>
        <w:ind w:firstLine="540"/>
        <w:jc w:val="both"/>
      </w:pPr>
      <w:proofErr w:type="gramStart"/>
      <w:r>
        <w:t xml:space="preserve">В соответствии с </w:t>
      </w:r>
      <w:hyperlink r:id="rId7" w:history="1">
        <w:r>
          <w:rPr>
            <w:color w:val="0000FF"/>
          </w:rPr>
          <w:t>частью 1 статьи 94</w:t>
        </w:r>
      </w:hyperlink>
      <w:r>
        <w:t xml:space="preserve"> Федерального закона N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указанным Федеральным законом, в том числе приемку поставленного товара, выполненной работы (ее результатов), оказанной услуги.</w:t>
      </w:r>
      <w:proofErr w:type="gramEnd"/>
    </w:p>
    <w:p w:rsidR="00FA2BFC" w:rsidRDefault="00FA2BFC">
      <w:pPr>
        <w:pStyle w:val="ConsPlusNormal"/>
        <w:ind w:firstLine="540"/>
        <w:jc w:val="both"/>
      </w:pPr>
      <w:r>
        <w:t>В этой связи, по мнению Департамента, при расчете неустойки в целях определения значения коэффициента</w:t>
      </w:r>
      <w:proofErr w:type="gramStart"/>
      <w:r>
        <w:t xml:space="preserve"> К</w:t>
      </w:r>
      <w:proofErr w:type="gramEnd"/>
      <w:r>
        <w:t xml:space="preserve"> срок исполнения обязательств по контракту необходимо принимать как количество дней с даты заключения контракта до даты поставки товара, выполнения работы, оказания услуги, определенных контрактом.</w:t>
      </w:r>
    </w:p>
    <w:p w:rsidR="00FA2BFC" w:rsidRDefault="00FA2BFC">
      <w:pPr>
        <w:pStyle w:val="ConsPlusNormal"/>
        <w:jc w:val="both"/>
      </w:pPr>
    </w:p>
    <w:p w:rsidR="00FA2BFC" w:rsidRDefault="00FA2BFC">
      <w:pPr>
        <w:pStyle w:val="ConsPlusNormal"/>
        <w:jc w:val="right"/>
      </w:pPr>
      <w:r>
        <w:t>Директор Департамента</w:t>
      </w:r>
    </w:p>
    <w:p w:rsidR="00FA2BFC" w:rsidRDefault="00FA2BFC">
      <w:pPr>
        <w:pStyle w:val="ConsPlusNormal"/>
        <w:jc w:val="right"/>
      </w:pPr>
      <w:r>
        <w:t>бюджетной методологии</w:t>
      </w:r>
    </w:p>
    <w:p w:rsidR="00FA2BFC" w:rsidRDefault="00FA2BFC">
      <w:pPr>
        <w:pStyle w:val="ConsPlusNormal"/>
        <w:jc w:val="right"/>
      </w:pPr>
      <w:r>
        <w:t>С.В.РОМАНОВ</w:t>
      </w:r>
    </w:p>
    <w:p w:rsidR="00FA2BFC" w:rsidRDefault="00FA2BFC">
      <w:pPr>
        <w:pStyle w:val="ConsPlusNormal"/>
      </w:pPr>
      <w:r>
        <w:t>13.04.2016</w:t>
      </w:r>
    </w:p>
    <w:p w:rsidR="00FA2BFC" w:rsidRDefault="00FA2BFC">
      <w:pPr>
        <w:pStyle w:val="ConsPlusNormal"/>
      </w:pPr>
    </w:p>
    <w:p w:rsidR="00FA2BFC" w:rsidRDefault="00FA2BFC">
      <w:pPr>
        <w:pStyle w:val="ConsPlusNormal"/>
      </w:pPr>
    </w:p>
    <w:p w:rsidR="00FA2BFC" w:rsidRDefault="00FA2BFC">
      <w:pPr>
        <w:pStyle w:val="ConsPlusNormal"/>
        <w:pBdr>
          <w:top w:val="single" w:sz="6" w:space="0" w:color="auto"/>
        </w:pBdr>
        <w:spacing w:before="100" w:after="100"/>
        <w:jc w:val="both"/>
        <w:rPr>
          <w:sz w:val="2"/>
          <w:szCs w:val="2"/>
        </w:rPr>
      </w:pPr>
    </w:p>
    <w:p w:rsidR="009312CA" w:rsidRDefault="009312CA">
      <w:bookmarkStart w:id="0" w:name="_GoBack"/>
      <w:bookmarkEnd w:id="0"/>
    </w:p>
    <w:sectPr w:rsidR="009312CA" w:rsidSect="00CF3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FC"/>
    <w:rsid w:val="009312CA"/>
    <w:rsid w:val="00FA2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B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2B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2BF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B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2B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2B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246B496C9DB873C14EE7178D14BE22A90D733960C85A80AB75D94B6C9EE5426D356D87504641D7E08x9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246B496C9DB873C14EE7178D14BE22A90D733960C85A80AB75D94B6C9EE5426D356D87504651B7708xCH"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2016-05-18T07:49:00Z</dcterms:created>
  <dcterms:modified xsi:type="dcterms:W3CDTF">2016-05-18T07:50:00Z</dcterms:modified>
</cp:coreProperties>
</file>