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2E" w:rsidRDefault="006F16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162E" w:rsidRDefault="006F162E">
      <w:pPr>
        <w:pStyle w:val="ConsPlusNormal"/>
        <w:jc w:val="both"/>
        <w:outlineLvl w:val="0"/>
      </w:pPr>
    </w:p>
    <w:p w:rsidR="006F162E" w:rsidRDefault="006F162E">
      <w:pPr>
        <w:pStyle w:val="ConsPlusTitle"/>
        <w:jc w:val="center"/>
      </w:pPr>
      <w:r>
        <w:t>МИНИСТЕРСТВО ФИНАНСОВ РОССИЙСКОЙ ФЕДЕРАЦИИ</w:t>
      </w:r>
    </w:p>
    <w:p w:rsidR="006F162E" w:rsidRDefault="006F162E">
      <w:pPr>
        <w:pStyle w:val="ConsPlusTitle"/>
        <w:jc w:val="center"/>
      </w:pPr>
    </w:p>
    <w:p w:rsidR="006F162E" w:rsidRDefault="006F162E">
      <w:pPr>
        <w:pStyle w:val="ConsPlusTitle"/>
        <w:jc w:val="center"/>
      </w:pPr>
      <w:r>
        <w:t>ПИСЬМО</w:t>
      </w:r>
    </w:p>
    <w:p w:rsidR="006F162E" w:rsidRDefault="006F162E">
      <w:pPr>
        <w:pStyle w:val="ConsPlusTitle"/>
        <w:jc w:val="center"/>
      </w:pPr>
      <w:r>
        <w:t>от 9 июня 2017 г. N 24-03-08/36404</w:t>
      </w:r>
    </w:p>
    <w:p w:rsidR="006F162E" w:rsidRDefault="006F162E">
      <w:pPr>
        <w:pStyle w:val="ConsPlusTitle"/>
        <w:jc w:val="center"/>
      </w:pPr>
    </w:p>
    <w:p w:rsidR="006F162E" w:rsidRDefault="006F162E">
      <w:pPr>
        <w:pStyle w:val="ConsPlusTitle"/>
        <w:jc w:val="center"/>
      </w:pPr>
      <w:r>
        <w:t>О РАССМОТРЕНИИ ОБРАЩЕНИЯ</w:t>
      </w:r>
    </w:p>
    <w:p w:rsidR="006F162E" w:rsidRDefault="006F162E">
      <w:pPr>
        <w:pStyle w:val="ConsPlusNormal"/>
        <w:jc w:val="both"/>
      </w:pPr>
    </w:p>
    <w:p w:rsidR="006F162E" w:rsidRDefault="006F162E">
      <w:pPr>
        <w:pStyle w:val="ConsPlusNormal"/>
        <w:ind w:firstLine="540"/>
        <w:jc w:val="both"/>
      </w:pPr>
      <w:r>
        <w:t xml:space="preserve">Минфин России,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выбора кода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(далее - ОКПД 2) для определения способа определения поставщика (подрядчика, </w:t>
      </w:r>
      <w:proofErr w:type="gramStart"/>
      <w:r>
        <w:t>исполнителя) при архитектурно-строительном проектировании, направленное письмом Иркутского УФАС России от 28.04.2017 N 4251, сообщает следующее.</w:t>
      </w:r>
      <w:proofErr w:type="gramEnd"/>
    </w:p>
    <w:p w:rsidR="006F162E" w:rsidRDefault="006F162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2 статьи 59</w:t>
        </w:r>
      </w:hyperlink>
      <w:r>
        <w:t xml:space="preserve"> Закона о контрактной системе в случае осуществления закупки товаров, работ, услуг, включенных в </w:t>
      </w:r>
      <w:hyperlink r:id="rId9" w:history="1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21.03.2016 N 471-р (далее - Перечень), либо в дополнительный перечень, установленный высшим исполнительным органом государственной власти субъекта Российской Федерации (при осуществлении закупок товаров, работ, услуг для обеспечения нужд субъекта Российской Федерации), заказчик обязан проводить</w:t>
      </w:r>
      <w:proofErr w:type="gramEnd"/>
      <w:r>
        <w:t xml:space="preserve"> электронный аукцион, за исключением случаев закупок товаров, работ, услуг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6F162E" w:rsidRDefault="006F162E">
      <w:pPr>
        <w:pStyle w:val="ConsPlusNormal"/>
        <w:ind w:firstLine="540"/>
        <w:jc w:val="both"/>
      </w:pPr>
      <w:proofErr w:type="gramStart"/>
      <w:r>
        <w:t xml:space="preserve">При этом </w:t>
      </w:r>
      <w:hyperlink r:id="rId11" w:history="1">
        <w:r>
          <w:rPr>
            <w:color w:val="0000FF"/>
          </w:rPr>
          <w:t>частью 3 статьи 59</w:t>
        </w:r>
      </w:hyperlink>
      <w:r>
        <w:t xml:space="preserve"> Закона о контрактной системе установлено, что заказчик имеет право осуществлять путем проведения электронного аукциона закупки иных товаров, работ, услуг, не включенных в указанные в </w:t>
      </w:r>
      <w:hyperlink r:id="rId12" w:history="1">
        <w:r>
          <w:rPr>
            <w:color w:val="0000FF"/>
          </w:rPr>
          <w:t>части 2 статьи 59</w:t>
        </w:r>
      </w:hyperlink>
      <w:r>
        <w:t xml:space="preserve"> Закона о контрактной системе перечни.</w:t>
      </w:r>
      <w:proofErr w:type="gramEnd"/>
    </w:p>
    <w:p w:rsidR="006F162E" w:rsidRDefault="006F162E">
      <w:pPr>
        <w:pStyle w:val="ConsPlusNormal"/>
        <w:ind w:firstLine="540"/>
        <w:jc w:val="both"/>
      </w:pPr>
      <w:r>
        <w:t xml:space="preserve">Учитывая, что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содержит наименования объектов закупок, кодов </w:t>
      </w:r>
      <w:hyperlink r:id="rId14" w:history="1">
        <w:r>
          <w:rPr>
            <w:color w:val="0000FF"/>
          </w:rPr>
          <w:t>ОКПД 2</w:t>
        </w:r>
      </w:hyperlink>
      <w:r>
        <w:t xml:space="preserve">, заказчики для цели выбора способа определения поставщика (подрядчика, исполнителя) самостоятельно определяют код </w:t>
      </w:r>
      <w:hyperlink r:id="rId15" w:history="1">
        <w:r>
          <w:rPr>
            <w:color w:val="0000FF"/>
          </w:rPr>
          <w:t>ОКПД 2</w:t>
        </w:r>
      </w:hyperlink>
      <w:r>
        <w:t xml:space="preserve"> путем соотнесения объекта закупки к соответствующему коду и наименованию позиции </w:t>
      </w:r>
      <w:hyperlink r:id="rId16" w:history="1">
        <w:r>
          <w:rPr>
            <w:color w:val="0000FF"/>
          </w:rPr>
          <w:t>ОКПД 2</w:t>
        </w:r>
      </w:hyperlink>
      <w:r>
        <w:t xml:space="preserve"> с учетом специфики закупки в области применения.</w:t>
      </w:r>
    </w:p>
    <w:p w:rsidR="006F162E" w:rsidRDefault="006F162E">
      <w:pPr>
        <w:pStyle w:val="ConsPlusNormal"/>
        <w:ind w:firstLine="540"/>
        <w:jc w:val="both"/>
      </w:pPr>
      <w:proofErr w:type="gramStart"/>
      <w:r>
        <w:t xml:space="preserve">При этом Минфин России обращает внимание, что не допускается выбор заказчиком кода по </w:t>
      </w:r>
      <w:hyperlink r:id="rId17" w:history="1">
        <w:r>
          <w:rPr>
            <w:color w:val="0000FF"/>
          </w:rPr>
          <w:t>ОКПД 2</w:t>
        </w:r>
      </w:hyperlink>
      <w:r>
        <w:t xml:space="preserve"> с целью изменения способа определения поставщика или иных неправомерных действий, которые могут возникнуть в случае указания неверного кода, поскольку в силу </w:t>
      </w:r>
      <w:hyperlink r:id="rId18" w:history="1">
        <w:r>
          <w:rPr>
            <w:color w:val="0000FF"/>
          </w:rPr>
          <w:t>части 5 статьи 24</w:t>
        </w:r>
      </w:hyperlink>
      <w:r>
        <w:t xml:space="preserve"> Закона о контрактной системе заказчик не вправе совершать действия, влекущие за собой необоснованное сокращение числа участников закупки, при выборе способа</w:t>
      </w:r>
      <w:proofErr w:type="gramEnd"/>
      <w:r>
        <w:t xml:space="preserve"> определения поставщика (подрядчика, исполнителя).</w:t>
      </w:r>
    </w:p>
    <w:p w:rsidR="006F162E" w:rsidRDefault="006F162E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Перечень</w:t>
        </w:r>
      </w:hyperlink>
      <w:r>
        <w:t xml:space="preserve"> содержит "Здания и работы по возведению зданий" (</w:t>
      </w:r>
      <w:hyperlink r:id="rId20" w:history="1">
        <w:r>
          <w:rPr>
            <w:color w:val="0000FF"/>
          </w:rPr>
          <w:t>код 41.2</w:t>
        </w:r>
      </w:hyperlink>
      <w:r>
        <w:t xml:space="preserve"> ОКПД 2), "Сооружения и строительные работы в области гражданского строительства" (</w:t>
      </w:r>
      <w:hyperlink r:id="rId21" w:history="1">
        <w:r>
          <w:rPr>
            <w:color w:val="0000FF"/>
          </w:rPr>
          <w:t>код 42</w:t>
        </w:r>
      </w:hyperlink>
      <w:r>
        <w:t xml:space="preserve"> ОКПД 2), "Работы строительные специализированные" (</w:t>
      </w:r>
      <w:hyperlink r:id="rId22" w:history="1">
        <w:r>
          <w:rPr>
            <w:color w:val="0000FF"/>
          </w:rPr>
          <w:t>код 43</w:t>
        </w:r>
      </w:hyperlink>
      <w:r>
        <w:t xml:space="preserve">, кроме </w:t>
      </w:r>
      <w:hyperlink r:id="rId23" w:history="1">
        <w:r>
          <w:rPr>
            <w:color w:val="0000FF"/>
          </w:rPr>
          <w:t>43.13</w:t>
        </w:r>
      </w:hyperlink>
      <w:r>
        <w:t>).</w:t>
      </w:r>
    </w:p>
    <w:p w:rsidR="006F162E" w:rsidRDefault="006F162E">
      <w:pPr>
        <w:pStyle w:val="ConsPlusNormal"/>
        <w:ind w:firstLine="540"/>
        <w:jc w:val="both"/>
      </w:pPr>
      <w:r>
        <w:t xml:space="preserve">При этом архитектурно-строительное проектирование содержится в нескольких кодах </w:t>
      </w:r>
      <w:hyperlink r:id="rId24" w:history="1">
        <w:r>
          <w:rPr>
            <w:color w:val="0000FF"/>
          </w:rPr>
          <w:t>ОКПД 2</w:t>
        </w:r>
      </w:hyperlink>
      <w:r>
        <w:t xml:space="preserve">, в том числе в </w:t>
      </w:r>
      <w:hyperlink r:id="rId25" w:history="1">
        <w:r>
          <w:rPr>
            <w:color w:val="0000FF"/>
          </w:rPr>
          <w:t>кодах 42</w:t>
        </w:r>
      </w:hyperlink>
      <w:r>
        <w:t xml:space="preserve">, </w:t>
      </w:r>
      <w:hyperlink r:id="rId26" w:history="1">
        <w:r>
          <w:rPr>
            <w:color w:val="0000FF"/>
          </w:rPr>
          <w:t>71</w:t>
        </w:r>
      </w:hyperlink>
      <w:r>
        <w:t xml:space="preserve"> классов, подкласса </w:t>
      </w:r>
      <w:hyperlink r:id="rId27" w:history="1">
        <w:r>
          <w:rPr>
            <w:color w:val="0000FF"/>
          </w:rPr>
          <w:t>41.1</w:t>
        </w:r>
      </w:hyperlink>
      <w:r>
        <w:t>.</w:t>
      </w:r>
    </w:p>
    <w:p w:rsidR="006F162E" w:rsidRDefault="006F162E">
      <w:pPr>
        <w:pStyle w:val="ConsPlusNormal"/>
        <w:ind w:firstLine="540"/>
        <w:jc w:val="both"/>
      </w:pPr>
      <w:r>
        <w:t xml:space="preserve">Учитывая имеющуюся неопределенность в отнесении работ по архитектурно-строительному проектированию к конкретному коду </w:t>
      </w:r>
      <w:hyperlink r:id="rId28" w:history="1">
        <w:r>
          <w:rPr>
            <w:color w:val="0000FF"/>
          </w:rPr>
          <w:t>ОКПД 2</w:t>
        </w:r>
      </w:hyperlink>
      <w:r>
        <w:t xml:space="preserve">, Минфин России считает, что заказчик вправе осуществить такую закупку путем проведения электронного аукциона или иного способа определения поставщика (подрядчика, исполнителя) в соответствии с требованиями </w:t>
      </w:r>
      <w:hyperlink r:id="rId29" w:history="1">
        <w:r>
          <w:rPr>
            <w:color w:val="0000FF"/>
          </w:rPr>
          <w:t>Закона</w:t>
        </w:r>
      </w:hyperlink>
      <w:r>
        <w:t xml:space="preserve"> о контрактной системе, в том числе открытого конкурса.</w:t>
      </w:r>
    </w:p>
    <w:p w:rsidR="006F162E" w:rsidRDefault="006F162E">
      <w:pPr>
        <w:pStyle w:val="ConsPlusNormal"/>
        <w:ind w:firstLine="540"/>
        <w:jc w:val="both"/>
      </w:pPr>
    </w:p>
    <w:p w:rsidR="006F162E" w:rsidRDefault="006F162E">
      <w:pPr>
        <w:pStyle w:val="ConsPlusNormal"/>
        <w:jc w:val="right"/>
      </w:pPr>
      <w:r>
        <w:t>А.М.ЛАВРОВ</w:t>
      </w:r>
    </w:p>
    <w:p w:rsidR="006F162E" w:rsidRDefault="006F162E">
      <w:pPr>
        <w:pStyle w:val="ConsPlusNormal"/>
        <w:jc w:val="both"/>
      </w:pPr>
    </w:p>
    <w:p w:rsidR="006F162E" w:rsidRDefault="006F162E">
      <w:pPr>
        <w:pStyle w:val="ConsPlusNormal"/>
        <w:jc w:val="both"/>
      </w:pPr>
    </w:p>
    <w:p w:rsidR="006F162E" w:rsidRDefault="006F1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9AC" w:rsidRDefault="007C29AC">
      <w:bookmarkStart w:id="0" w:name="_GoBack"/>
      <w:bookmarkEnd w:id="0"/>
    </w:p>
    <w:sectPr w:rsidR="007C29AC" w:rsidSect="00A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2E"/>
    <w:rsid w:val="006F162E"/>
    <w:rsid w:val="007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D852EA43F629E5AB6CC95ECED7B55D65FDC9A662583757CBA7D14990EEBDC6859AAA02C30A6A7E9KFH" TargetMode="External"/><Relationship Id="rId13" Type="http://schemas.openxmlformats.org/officeDocument/2006/relationships/hyperlink" Target="consultantplus://offline/ref=CB0D852EA43F629E5AB6CC95ECED7B55D65ED79C642883757CBA7D14990EEBDC6859AAA02C31A1A3E9KFH" TargetMode="External"/><Relationship Id="rId18" Type="http://schemas.openxmlformats.org/officeDocument/2006/relationships/hyperlink" Target="consultantplus://offline/ref=CB0D852EA43F629E5AB6CC95ECED7B55D65FDC9A662583757CBA7D14990EEBDC6859AAA02C31A3A4E9K6H" TargetMode="External"/><Relationship Id="rId26" Type="http://schemas.openxmlformats.org/officeDocument/2006/relationships/hyperlink" Target="consultantplus://offline/ref=CB0D852EA43F629E5AB6CC95ECED7B55D65FD598682B83757CBA7D14990EEBDC6859AAA02F33A4A0E9K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0D852EA43F629E5AB6CC95ECED7B55D65FD598682B83757CBA7D14990EEBDC6859AAA02E36A3A4E9K5H" TargetMode="External"/><Relationship Id="rId7" Type="http://schemas.openxmlformats.org/officeDocument/2006/relationships/hyperlink" Target="consultantplus://offline/ref=CB0D852EA43F629E5AB6CC95ECED7B55D65FD598682B83757CBA7D1499E0KEH" TargetMode="External"/><Relationship Id="rId12" Type="http://schemas.openxmlformats.org/officeDocument/2006/relationships/hyperlink" Target="consultantplus://offline/ref=CB0D852EA43F629E5AB6CC95ECED7B55D65FDC9A662583757CBA7D14990EEBDC6859AAA02C30A6A7E9KFH" TargetMode="External"/><Relationship Id="rId17" Type="http://schemas.openxmlformats.org/officeDocument/2006/relationships/hyperlink" Target="consultantplus://offline/ref=CB0D852EA43F629E5AB6CC95ECED7B55D65FD598682B83757CBA7D1499E0KEH" TargetMode="External"/><Relationship Id="rId25" Type="http://schemas.openxmlformats.org/officeDocument/2006/relationships/hyperlink" Target="consultantplus://offline/ref=CB0D852EA43F629E5AB6CC95ECED7B55D65FD598682B83757CBA7D14990EEBDC6859AAA02E36A3A4E9K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0D852EA43F629E5AB6CC95ECED7B55D65FD598682B83757CBA7D1499E0KEH" TargetMode="External"/><Relationship Id="rId20" Type="http://schemas.openxmlformats.org/officeDocument/2006/relationships/hyperlink" Target="consultantplus://offline/ref=CB0D852EA43F629E5AB6CC95ECED7B55D65FD598682B83757CBA7D14990EEBDC6859AAA02E36A0AAE9K1H" TargetMode="External"/><Relationship Id="rId29" Type="http://schemas.openxmlformats.org/officeDocument/2006/relationships/hyperlink" Target="consultantplus://offline/ref=CB0D852EA43F629E5AB6CC95ECED7B55D65FDC9A662583757CBA7D1499E0K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D852EA43F629E5AB6CC95ECED7B55D65FDC9A662583757CBA7D1499E0KEH" TargetMode="External"/><Relationship Id="rId11" Type="http://schemas.openxmlformats.org/officeDocument/2006/relationships/hyperlink" Target="consultantplus://offline/ref=CB0D852EA43F629E5AB6CC95ECED7B55D65FDC9A662583757CBA7D14990EEBDC6859AAA02C31A6A6E9K7H" TargetMode="External"/><Relationship Id="rId24" Type="http://schemas.openxmlformats.org/officeDocument/2006/relationships/hyperlink" Target="consultantplus://offline/ref=CB0D852EA43F629E5AB6CC95ECED7B55D65FD598682B83757CBA7D1499E0K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0D852EA43F629E5AB6CC95ECED7B55D65FD598682B83757CBA7D1499E0KEH" TargetMode="External"/><Relationship Id="rId23" Type="http://schemas.openxmlformats.org/officeDocument/2006/relationships/hyperlink" Target="consultantplus://offline/ref=CB0D852EA43F629E5AB6CC95ECED7B55D65FD598682B83757CBA7D14990EEBDC6859AAA02E36A4AAE9K4H" TargetMode="External"/><Relationship Id="rId28" Type="http://schemas.openxmlformats.org/officeDocument/2006/relationships/hyperlink" Target="consultantplus://offline/ref=CB0D852EA43F629E5AB6CC95ECED7B55D65FD598682B83757CBA7D1499E0KEH" TargetMode="External"/><Relationship Id="rId10" Type="http://schemas.openxmlformats.org/officeDocument/2006/relationships/hyperlink" Target="consultantplus://offline/ref=CB0D852EA43F629E5AB6CC95ECED7B55D65FDC9A662583757CBA7D1499E0KEH" TargetMode="External"/><Relationship Id="rId19" Type="http://schemas.openxmlformats.org/officeDocument/2006/relationships/hyperlink" Target="consultantplus://offline/ref=CB0D852EA43F629E5AB6CC95ECED7B55D65ED79C642883757CBA7D14990EEBDC6859AAA02C31A1A3E9KF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D852EA43F629E5AB6CC95ECED7B55D65ED79C642883757CBA7D14990EEBDC6859AAA02C31A1A3E9KFH" TargetMode="External"/><Relationship Id="rId14" Type="http://schemas.openxmlformats.org/officeDocument/2006/relationships/hyperlink" Target="consultantplus://offline/ref=CB0D852EA43F629E5AB6CC95ECED7B55D65FD598682B83757CBA7D1499E0KEH" TargetMode="External"/><Relationship Id="rId22" Type="http://schemas.openxmlformats.org/officeDocument/2006/relationships/hyperlink" Target="consultantplus://offline/ref=CB0D852EA43F629E5AB6CC95ECED7B55D65FD598682B83757CBA7D14990EEBDC6859AAA02E36A4A6E9K2H" TargetMode="External"/><Relationship Id="rId27" Type="http://schemas.openxmlformats.org/officeDocument/2006/relationships/hyperlink" Target="consultantplus://offline/ref=CB0D852EA43F629E5AB6CC95ECED7B55D65FD598682B83757CBA7D14990EEBDC6859AAA02E36A0ABE9K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2017-06-23T07:10:00Z</dcterms:created>
  <dcterms:modified xsi:type="dcterms:W3CDTF">2017-06-23T07:10:00Z</dcterms:modified>
</cp:coreProperties>
</file>