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 осуществлении закупки у единственного поставщика (подрядчика, исполнителя) в случае признания несостоявшимся определения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  <w:proofErr w:type="gramEnd"/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января 2015 г. N Д28и-8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Закон).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части 1 статьи 30</w:t>
        </w:r>
      </w:hyperlink>
      <w:r>
        <w:rPr>
          <w:rFonts w:ascii="Calibri" w:hAnsi="Calibri" w:cs="Calibri"/>
        </w:rPr>
        <w:t xml:space="preserve"> Закона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r:id="rId8" w:history="1">
        <w:r>
          <w:rPr>
            <w:rFonts w:ascii="Calibri" w:hAnsi="Calibri" w:cs="Calibri"/>
            <w:color w:val="0000FF"/>
          </w:rPr>
          <w:t>части 1.1 статьи 30</w:t>
        </w:r>
      </w:hyperlink>
      <w:r>
        <w:rPr>
          <w:rFonts w:ascii="Calibri" w:hAnsi="Calibri" w:cs="Calibri"/>
        </w:rPr>
        <w:t xml:space="preserve"> Закона, путем: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организации. При этом начальная (максимальная) цена контракта не должна превышать двадцать миллионов рублей;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осуществления закупок с учетом положений </w:t>
      </w:r>
      <w:hyperlink r:id="rId9" w:history="1">
        <w:r>
          <w:rPr>
            <w:rFonts w:ascii="Calibri" w:hAnsi="Calibri" w:cs="Calibri"/>
            <w:color w:val="0000FF"/>
          </w:rPr>
          <w:t>части 5 статьи 30</w:t>
        </w:r>
      </w:hyperlink>
      <w:r>
        <w:rPr>
          <w:rFonts w:ascii="Calibri" w:hAnsi="Calibri" w:cs="Calibri"/>
        </w:rPr>
        <w:t xml:space="preserve"> Закона.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16 статьи 3</w:t>
        </w:r>
      </w:hyperlink>
      <w:r>
        <w:rPr>
          <w:rFonts w:ascii="Calibri" w:hAnsi="Calibri" w:cs="Calibri"/>
        </w:rPr>
        <w:t xml:space="preserve"> Закона 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 в соответствии с Законом, в том числе для оплаты контрактов, заключенных до начала указанного финансового года и подлежащих оплате в указанном финансовом году.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частью 4 статьи 30</w:t>
        </w:r>
      </w:hyperlink>
      <w:r>
        <w:rPr>
          <w:rFonts w:ascii="Calibri" w:hAnsi="Calibri" w:cs="Calibri"/>
        </w:rPr>
        <w:t xml:space="preserve"> Закона в случае признания несостоявшимся определения поставщиков (подрядчиков, исполнителей) в порядке, установленном Законом, заказчик вправе отменить указанное в </w:t>
      </w:r>
      <w:hyperlink r:id="rId12" w:history="1">
        <w:r>
          <w:rPr>
            <w:rFonts w:ascii="Calibri" w:hAnsi="Calibri" w:cs="Calibri"/>
            <w:color w:val="0000FF"/>
          </w:rPr>
          <w:t>части 3 статьи 30</w:t>
        </w:r>
      </w:hyperlink>
      <w:r>
        <w:rPr>
          <w:rFonts w:ascii="Calibri" w:hAnsi="Calibri" w:cs="Calibri"/>
        </w:rPr>
        <w:t xml:space="preserve"> Закона ограничение и осуществить закупки на общих основаниях.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</w:t>
      </w:r>
      <w:hyperlink r:id="rId13" w:history="1">
        <w:r>
          <w:rPr>
            <w:rFonts w:ascii="Calibri" w:hAnsi="Calibri" w:cs="Calibri"/>
            <w:color w:val="0000FF"/>
          </w:rPr>
          <w:t>частью 2 статьи 30</w:t>
        </w:r>
      </w:hyperlink>
      <w:r>
        <w:rPr>
          <w:rFonts w:ascii="Calibri" w:hAnsi="Calibri" w:cs="Calibri"/>
        </w:rPr>
        <w:t xml:space="preserve"> Закона, и до 1 апреля года, следующего за отчетным годом, </w:t>
      </w:r>
      <w:proofErr w:type="gramStart"/>
      <w:r>
        <w:rPr>
          <w:rFonts w:ascii="Calibri" w:hAnsi="Calibri" w:cs="Calibri"/>
        </w:rPr>
        <w:t>разместить</w:t>
      </w:r>
      <w:proofErr w:type="gramEnd"/>
      <w:r>
        <w:rPr>
          <w:rFonts w:ascii="Calibri" w:hAnsi="Calibri" w:cs="Calibri"/>
        </w:rPr>
        <w:t xml:space="preserve">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такие закупки, осуществленные на общих основаниях, не учитываются в объеме закупок, осуществленных заказчиками у субъектов малого предпринимательства, социально ориентированных некоммерческих организаций.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4" w:history="1">
        <w:r>
          <w:rPr>
            <w:rFonts w:ascii="Calibri" w:hAnsi="Calibri" w:cs="Calibri"/>
            <w:color w:val="0000FF"/>
          </w:rPr>
          <w:t>пункту 25 части 1 статьи 93</w:t>
        </w:r>
      </w:hyperlink>
      <w:r>
        <w:rPr>
          <w:rFonts w:ascii="Calibri" w:hAnsi="Calibri" w:cs="Calibri"/>
        </w:rPr>
        <w:t xml:space="preserve"> Закона закупка у единственного поставщика (подрядчика, исполнителя) может осуществляться заказчиком в случае признания несостоявшимися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 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7 статьи 55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- </w:t>
      </w:r>
      <w:hyperlink r:id="rId18" w:history="1">
        <w:r>
          <w:rPr>
            <w:rFonts w:ascii="Calibri" w:hAnsi="Calibri" w:cs="Calibri"/>
            <w:color w:val="0000FF"/>
          </w:rPr>
          <w:t>3.1 статьи 71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3 статьи 79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частью 18 статьи</w:t>
        </w:r>
        <w:proofErr w:type="gramEnd"/>
        <w:r>
          <w:rPr>
            <w:rFonts w:ascii="Calibri" w:hAnsi="Calibri" w:cs="Calibri"/>
            <w:color w:val="0000FF"/>
          </w:rPr>
          <w:t xml:space="preserve"> 83</w:t>
        </w:r>
      </w:hyperlink>
      <w:r>
        <w:rPr>
          <w:rFonts w:ascii="Calibri" w:hAnsi="Calibri" w:cs="Calibri"/>
        </w:rPr>
        <w:t xml:space="preserve"> Закона. </w:t>
      </w:r>
      <w:proofErr w:type="gramStart"/>
      <w:r>
        <w:rPr>
          <w:rFonts w:ascii="Calibri" w:hAnsi="Calibri" w:cs="Calibri"/>
        </w:rPr>
        <w:t xml:space="preserve">Согласование заключения контракта в указанных случаях, за исключением </w:t>
      </w:r>
      <w:r>
        <w:rPr>
          <w:rFonts w:ascii="Calibri" w:hAnsi="Calibri" w:cs="Calibri"/>
        </w:rPr>
        <w:lastRenderedPageBreak/>
        <w:t xml:space="preserve">случаев заключения контрактов в соответствии с </w:t>
      </w:r>
      <w:hyperlink r:id="rId22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23" w:history="1">
        <w:r>
          <w:rPr>
            <w:rFonts w:ascii="Calibri" w:hAnsi="Calibri" w:cs="Calibri"/>
            <w:color w:val="0000FF"/>
          </w:rPr>
          <w:t>3 статьи 79</w:t>
        </w:r>
      </w:hyperlink>
      <w:r>
        <w:rPr>
          <w:rFonts w:ascii="Calibri" w:hAnsi="Calibri" w:cs="Calibri"/>
        </w:rPr>
        <w:t xml:space="preserve"> Закона,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</w:t>
      </w:r>
      <w:proofErr w:type="gramEnd"/>
      <w:r>
        <w:rPr>
          <w:rFonts w:ascii="Calibri" w:hAnsi="Calibri" w:cs="Calibri"/>
        </w:rPr>
        <w:t xml:space="preserve">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согласно </w:t>
      </w:r>
      <w:hyperlink r:id="rId24" w:history="1">
        <w:r>
          <w:rPr>
            <w:rFonts w:ascii="Calibri" w:hAnsi="Calibri" w:cs="Calibri"/>
            <w:color w:val="0000FF"/>
          </w:rPr>
          <w:t>частям 1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7 статьи 55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частям 1</w:t>
        </w:r>
      </w:hyperlink>
      <w:r>
        <w:rPr>
          <w:rFonts w:ascii="Calibri" w:hAnsi="Calibri" w:cs="Calibri"/>
        </w:rPr>
        <w:t xml:space="preserve"> - </w:t>
      </w:r>
      <w:hyperlink r:id="rId27" w:history="1">
        <w:r>
          <w:rPr>
            <w:rFonts w:ascii="Calibri" w:hAnsi="Calibri" w:cs="Calibri"/>
            <w:color w:val="0000FF"/>
          </w:rPr>
          <w:t>3.1 статьи 71</w:t>
        </w:r>
      </w:hyperlink>
      <w:r>
        <w:rPr>
          <w:rFonts w:ascii="Calibri" w:hAnsi="Calibri" w:cs="Calibri"/>
        </w:rPr>
        <w:t xml:space="preserve">, </w:t>
      </w:r>
      <w:hyperlink r:id="rId28" w:history="1">
        <w:r>
          <w:rPr>
            <w:rFonts w:ascii="Calibri" w:hAnsi="Calibri" w:cs="Calibri"/>
            <w:color w:val="0000FF"/>
          </w:rPr>
          <w:t>частям 1</w:t>
        </w:r>
      </w:hyperlink>
      <w:r>
        <w:rPr>
          <w:rFonts w:ascii="Calibri" w:hAnsi="Calibri" w:cs="Calibri"/>
        </w:rPr>
        <w:t xml:space="preserve"> и </w:t>
      </w:r>
      <w:hyperlink r:id="rId29" w:history="1">
        <w:r>
          <w:rPr>
            <w:rFonts w:ascii="Calibri" w:hAnsi="Calibri" w:cs="Calibri"/>
            <w:color w:val="0000FF"/>
          </w:rPr>
          <w:t>3 статьи 79</w:t>
        </w:r>
      </w:hyperlink>
      <w:r>
        <w:rPr>
          <w:rFonts w:ascii="Calibri" w:hAnsi="Calibri" w:cs="Calibri"/>
        </w:rPr>
        <w:t xml:space="preserve"> Закона заказчик заключает контракт с единственным поставщиком (подрядчиком, исполнителем) в соответствии с </w:t>
      </w:r>
      <w:hyperlink r:id="rId30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Закона в случаях, если конкурс, электронный аукцион, запрос котировок признаны несостоявшимися в связи с тем, что по окончании срока подачи заявок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участие в таком конкурсе, электронном аукционе, запросе котировок подана только одна заявка на участие в нем, контракт заключается с участником такого конкурса, электронного аукциона, запроса котировок, подавшим единственную заявку на участие в нем, если этот участник и поданная им заявка признаны соответствующими требованиям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 документации о таком конкурсе, электронном аукционе или извещению о проведении запроса котировок.</w:t>
      </w:r>
      <w:proofErr w:type="gramEnd"/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указанных случаях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установлена обязанность заказчика </w:t>
      </w:r>
      <w:proofErr w:type="gramStart"/>
      <w:r>
        <w:rPr>
          <w:rFonts w:ascii="Calibri" w:hAnsi="Calibri" w:cs="Calibri"/>
        </w:rPr>
        <w:t>осуществлять</w:t>
      </w:r>
      <w:proofErr w:type="gramEnd"/>
      <w:r>
        <w:rPr>
          <w:rFonts w:ascii="Calibri" w:hAnsi="Calibri" w:cs="Calibri"/>
        </w:rPr>
        <w:t xml:space="preserve"> закупку у единственного поставщика (подрядчика, исполнителя) в соответствии с </w:t>
      </w:r>
      <w:hyperlink r:id="rId33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Закона.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контрольный орган не вправе отказать в согласовании возможности заключения (заключения) контракта с единственным поставщиком (подрядчиком, исполнителем) на основании </w:t>
      </w:r>
      <w:hyperlink r:id="rId34" w:history="1">
        <w:r>
          <w:rPr>
            <w:rFonts w:ascii="Calibri" w:hAnsi="Calibri" w:cs="Calibri"/>
            <w:color w:val="0000FF"/>
          </w:rPr>
          <w:t>части 4 статьи 30</w:t>
        </w:r>
      </w:hyperlink>
      <w:r>
        <w:rPr>
          <w:rFonts w:ascii="Calibri" w:hAnsi="Calibri" w:cs="Calibri"/>
        </w:rPr>
        <w:t xml:space="preserve"> Закона.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получения от контрольного органа отказа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контракта с единственным поставщиком (подрядчиком, исполнителем) заказчик вправе обжаловать решение данного органа.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3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12.01.2015</w:t>
      </w: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5577" w:rsidRDefault="00B2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5577" w:rsidRDefault="00B2557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A35CF" w:rsidRDefault="007A35CF">
      <w:bookmarkStart w:id="0" w:name="_GoBack"/>
      <w:bookmarkEnd w:id="0"/>
    </w:p>
    <w:sectPr w:rsidR="007A35CF" w:rsidSect="00C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7"/>
    <w:rsid w:val="007A35CF"/>
    <w:rsid w:val="00B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8901E03E5857DC4A98D14BEE78CED6777790EDDFBC59113474C963C85F6DCB05628800A81956F917AEH" TargetMode="External"/><Relationship Id="rId13" Type="http://schemas.openxmlformats.org/officeDocument/2006/relationships/hyperlink" Target="consultantplus://offline/ref=158901E03E5857DC4A98D14BEE78CED6777790EDDFBC59113474C963C85F6DCB05628800A8185DFD17A6H" TargetMode="External"/><Relationship Id="rId18" Type="http://schemas.openxmlformats.org/officeDocument/2006/relationships/hyperlink" Target="consultantplus://offline/ref=158901E03E5857DC4A98D14BEE78CED6777790EDDFBC59113474C963C85F6DCB05628800A81957FF17A6H" TargetMode="External"/><Relationship Id="rId26" Type="http://schemas.openxmlformats.org/officeDocument/2006/relationships/hyperlink" Target="consultantplus://offline/ref=158901E03E5857DC4A98D14BEE78CED6777790EDDFBC59113474C963C85F6DCB05628800A81857F917A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8901E03E5857DC4A98D14BEE78CED6777790EDDFBC59113474C963C85F6DCB05628800A81957FB17A7H" TargetMode="External"/><Relationship Id="rId34" Type="http://schemas.openxmlformats.org/officeDocument/2006/relationships/hyperlink" Target="consultantplus://offline/ref=158901E03E5857DC4A98D14BEE78CED6777790EDDFBC59113474C963C85F6DCB05628800A81956F917A9H" TargetMode="External"/><Relationship Id="rId7" Type="http://schemas.openxmlformats.org/officeDocument/2006/relationships/hyperlink" Target="consultantplus://offline/ref=158901E03E5857DC4A98D14BEE78CED6777790EDDFBC59113474C963C85F6DCB05628800A81956FA17A9H" TargetMode="External"/><Relationship Id="rId12" Type="http://schemas.openxmlformats.org/officeDocument/2006/relationships/hyperlink" Target="consultantplus://offline/ref=158901E03E5857DC4A98D14BEE78CED6777790EDDFBC59113474C963C85F6DCB05628800A8185DFD17A7H" TargetMode="External"/><Relationship Id="rId17" Type="http://schemas.openxmlformats.org/officeDocument/2006/relationships/hyperlink" Target="consultantplus://offline/ref=158901E03E5857DC4A98D14BEE78CED6777790EDDFBC59113474C963C85F6DCB05628800A81857FA17A6H" TargetMode="External"/><Relationship Id="rId25" Type="http://schemas.openxmlformats.org/officeDocument/2006/relationships/hyperlink" Target="consultantplus://offline/ref=158901E03E5857DC4A98D14BEE78CED6777790EDDFBC59113474C963C85F6DCB05628800A81859FE17ACH" TargetMode="External"/><Relationship Id="rId33" Type="http://schemas.openxmlformats.org/officeDocument/2006/relationships/hyperlink" Target="consultantplus://offline/ref=158901E03E5857DC4A98D14BEE78CED6777790EDDFBC59113474C963C85F6DCB056288031AA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8901E03E5857DC4A98D14BEE78CED6777790EDDFBC59113474C963C85F6DCB05628800A81859FE17ACH" TargetMode="External"/><Relationship Id="rId20" Type="http://schemas.openxmlformats.org/officeDocument/2006/relationships/hyperlink" Target="consultantplus://offline/ref=158901E03E5857DC4A98D14BEE78CED6777790EDDFBC59113474C963C85F6DCB05628800A8195EFB17AAH" TargetMode="External"/><Relationship Id="rId29" Type="http://schemas.openxmlformats.org/officeDocument/2006/relationships/hyperlink" Target="consultantplus://offline/ref=158901E03E5857DC4A98D14BEE78CED6777790EDDFBC59113474C963C85F6DCB05628800A8195EFB17A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8901E03E5857DC4A98D14BEE78CED6777790EDDFBC59113474C963C815AFH" TargetMode="External"/><Relationship Id="rId11" Type="http://schemas.openxmlformats.org/officeDocument/2006/relationships/hyperlink" Target="consultantplus://offline/ref=158901E03E5857DC4A98D14BEE78CED6777790EDDFBC59113474C963C85F6DCB05628800A81956F917A9H" TargetMode="External"/><Relationship Id="rId24" Type="http://schemas.openxmlformats.org/officeDocument/2006/relationships/hyperlink" Target="consultantplus://offline/ref=158901E03E5857DC4A98D14BEE78CED6777790EDDFBC59113474C963C85F6DCB05628800A81859FF17AFH" TargetMode="External"/><Relationship Id="rId32" Type="http://schemas.openxmlformats.org/officeDocument/2006/relationships/hyperlink" Target="consultantplus://offline/ref=158901E03E5857DC4A98D14BEE78CED6777790EDDFBC59113474C963C85F6DCB05628800A8185CF917ADH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58901E03E5857DC4A98D14BEE78CED6777790EDDFBC59113474C963C85F6DCB05628800A81859FF17AEH" TargetMode="External"/><Relationship Id="rId23" Type="http://schemas.openxmlformats.org/officeDocument/2006/relationships/hyperlink" Target="consultantplus://offline/ref=158901E03E5857DC4A98D14BEE78CED6777790EDDFBC59113474C963C85F6DCB05628800A8195EFB17AAH" TargetMode="External"/><Relationship Id="rId28" Type="http://schemas.openxmlformats.org/officeDocument/2006/relationships/hyperlink" Target="consultantplus://offline/ref=158901E03E5857DC4A98D14BEE78CED6777790EDDFBC59113474C963C85F6DCB05628800A8195EFB17AF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58901E03E5857DC4A98D14BEE78CED6777790EDDFBC59113474C963C85F6DCB05628800A81956FB17A7H" TargetMode="External"/><Relationship Id="rId19" Type="http://schemas.openxmlformats.org/officeDocument/2006/relationships/hyperlink" Target="consultantplus://offline/ref=158901E03E5857DC4A98D14BEE78CED6777790EDDFBC59113474C963C85F6DCB05628800A8195EFB17AEH" TargetMode="External"/><Relationship Id="rId31" Type="http://schemas.openxmlformats.org/officeDocument/2006/relationships/hyperlink" Target="consultantplus://offline/ref=158901E03E5857DC4A98D14BEE78CED6777790EDDFBC59113474C963C815A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8901E03E5857DC4A98D14BEE78CED6777790EDDFBC59113474C963C85F6DCB05628800A81956F917A7H" TargetMode="External"/><Relationship Id="rId14" Type="http://schemas.openxmlformats.org/officeDocument/2006/relationships/hyperlink" Target="consultantplus://offline/ref=158901E03E5857DC4A98D14BEE78CED6777790EDDFBC59113474C963C85F6DCB056288031AA1H" TargetMode="External"/><Relationship Id="rId22" Type="http://schemas.openxmlformats.org/officeDocument/2006/relationships/hyperlink" Target="consultantplus://offline/ref=158901E03E5857DC4A98D14BEE78CED6777790EDDFBC59113474C963C85F6DCB05628800A8195EFB17AEH" TargetMode="External"/><Relationship Id="rId27" Type="http://schemas.openxmlformats.org/officeDocument/2006/relationships/hyperlink" Target="consultantplus://offline/ref=158901E03E5857DC4A98D14BEE78CED6777790EDDFBC59113474C963C85F6DCB05628800A81957FF17A6H" TargetMode="External"/><Relationship Id="rId30" Type="http://schemas.openxmlformats.org/officeDocument/2006/relationships/hyperlink" Target="consultantplus://offline/ref=158901E03E5857DC4A98D14BEE78CED6777790EDDFBC59113474C963C85F6DCB056288031AA1H" TargetMode="External"/><Relationship Id="rId35" Type="http://schemas.openxmlformats.org/officeDocument/2006/relationships/hyperlink" Target="consultantplus://offline/ref=158901E03E5857DC4A98D14BEE78CED6777793EED1BE59113474C963C85F6DCB05628800A8185EFD17A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2015-03-03T07:00:00Z</dcterms:created>
  <dcterms:modified xsi:type="dcterms:W3CDTF">2015-03-03T07:01:00Z</dcterms:modified>
</cp:coreProperties>
</file>