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31 января 2014 г. N 31204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декабря 2013 г. N 126н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ИНФОРМАЦИИ И ДОКУМЕНТОВ ДЛЯ ВЕДЕНИЯ РЕЕСТРА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БАНКОВСКИХ ГАРАНТИЙ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Правил ведения и размещения в единой информационной системе в сфере закупок реестра банковских гарантий, утвержденных постановлением Правительства Российской Федерации от 8 ноября 2013 г. N 1005 (Собрание законодательства Российской Федерации, 2013, N 46, ст. 5947), и в целях реализации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</w:t>
      </w:r>
      <w:proofErr w:type="gramEnd"/>
      <w:r>
        <w:rPr>
          <w:rFonts w:ascii="Calibri" w:hAnsi="Calibri" w:cs="Calibri"/>
        </w:rPr>
        <w:t>, работ, услуг для обеспечения государственных и муниципальных нужд" (Собрание законодательства Российской Федерации, 2013, N 14, ст. 1652, N 27, ст. 3480) приказываю: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информации и документов для ведения реестра банковских гарантий (далее - Порядок).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положения </w:t>
      </w:r>
      <w:hyperlink w:anchor="Par37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применяются с учетом того, что до ввода в эксплуатацию единой информационной системы в сфере закупок размещение банковских гарантий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(далее - Официальный сайт), обеспечение уполномоченных лиц банков сертификатами ключей проверки электронных подписей и средствами электронной</w:t>
      </w:r>
      <w:proofErr w:type="gramEnd"/>
      <w:r>
        <w:rPr>
          <w:rFonts w:ascii="Calibri" w:hAnsi="Calibri" w:cs="Calibri"/>
        </w:rPr>
        <w:t xml:space="preserve"> подписи для целей ведения реестра банковских гарантий осуществляется Федеральным казначейством в порядке, установленном для регистрации пользователей на Официальном сайте.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>3. Настоящий приказ вступает в силу по истечении 10 дней со дня его официального опубликования, за исключением вступающих в силу: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 1 июля 2014 года </w:t>
      </w:r>
      <w:hyperlink w:anchor="Par95" w:history="1">
        <w:r>
          <w:rPr>
            <w:rFonts w:ascii="Calibri" w:hAnsi="Calibri" w:cs="Calibri"/>
            <w:color w:val="0000FF"/>
          </w:rPr>
          <w:t>абзаца десятого пункта 13</w:t>
        </w:r>
      </w:hyperlink>
      <w:r>
        <w:rPr>
          <w:rFonts w:ascii="Calibri" w:hAnsi="Calibri" w:cs="Calibri"/>
        </w:rPr>
        <w:t xml:space="preserve">, </w:t>
      </w:r>
      <w:hyperlink w:anchor="Par102" w:history="1">
        <w:r>
          <w:rPr>
            <w:rFonts w:ascii="Calibri" w:hAnsi="Calibri" w:cs="Calibri"/>
            <w:color w:val="0000FF"/>
          </w:rPr>
          <w:t>абзаца третьего пункта 14</w:t>
        </w:r>
      </w:hyperlink>
      <w:r>
        <w:rPr>
          <w:rFonts w:ascii="Calibri" w:hAnsi="Calibri" w:cs="Calibri"/>
        </w:rPr>
        <w:t xml:space="preserve"> в части даты постановки на учет в налоговом органе в соответствии со свидетельством о постановке на учет в налоговом органе, </w:t>
      </w:r>
      <w:hyperlink w:anchor="Par108" w:history="1">
        <w:r>
          <w:rPr>
            <w:rFonts w:ascii="Calibri" w:hAnsi="Calibri" w:cs="Calibri"/>
            <w:color w:val="0000FF"/>
          </w:rPr>
          <w:t>абзаца второго пункта 15</w:t>
        </w:r>
      </w:hyperlink>
      <w:r>
        <w:rPr>
          <w:rFonts w:ascii="Calibri" w:hAnsi="Calibri" w:cs="Calibri"/>
        </w:rPr>
        <w:t xml:space="preserve">, </w:t>
      </w:r>
      <w:hyperlink w:anchor="Par114" w:history="1">
        <w:r>
          <w:rPr>
            <w:rFonts w:ascii="Calibri" w:hAnsi="Calibri" w:cs="Calibri"/>
            <w:color w:val="0000FF"/>
          </w:rPr>
          <w:t>абзацев второго</w:t>
        </w:r>
      </w:hyperlink>
      <w:r>
        <w:rPr>
          <w:rFonts w:ascii="Calibri" w:hAnsi="Calibri" w:cs="Calibri"/>
        </w:rPr>
        <w:t xml:space="preserve">, </w:t>
      </w:r>
      <w:hyperlink w:anchor="Par124" w:history="1">
        <w:r>
          <w:rPr>
            <w:rFonts w:ascii="Calibri" w:hAnsi="Calibri" w:cs="Calibri"/>
            <w:color w:val="0000FF"/>
          </w:rPr>
          <w:t>восьмого</w:t>
        </w:r>
      </w:hyperlink>
      <w:r>
        <w:rPr>
          <w:rFonts w:ascii="Calibri" w:hAnsi="Calibri" w:cs="Calibri"/>
        </w:rPr>
        <w:t xml:space="preserve"> - </w:t>
      </w:r>
      <w:hyperlink w:anchor="Par130" w:history="1">
        <w:r>
          <w:rPr>
            <w:rFonts w:ascii="Calibri" w:hAnsi="Calibri" w:cs="Calibri"/>
            <w:color w:val="0000FF"/>
          </w:rPr>
          <w:t>четырнадцатого пункта 16</w:t>
        </w:r>
      </w:hyperlink>
      <w:r>
        <w:rPr>
          <w:rFonts w:ascii="Calibri" w:hAnsi="Calibri" w:cs="Calibri"/>
        </w:rPr>
        <w:t xml:space="preserve">, </w:t>
      </w:r>
      <w:hyperlink w:anchor="Par138" w:history="1">
        <w:r>
          <w:rPr>
            <w:rFonts w:ascii="Calibri" w:hAnsi="Calibri" w:cs="Calibri"/>
            <w:color w:val="0000FF"/>
          </w:rPr>
          <w:t>абзаца четвертого пункта 17</w:t>
        </w:r>
      </w:hyperlink>
      <w:r>
        <w:rPr>
          <w:rFonts w:ascii="Calibri" w:hAnsi="Calibri" w:cs="Calibri"/>
        </w:rPr>
        <w:t xml:space="preserve">, </w:t>
      </w:r>
      <w:hyperlink w:anchor="Par146" w:history="1">
        <w:r>
          <w:rPr>
            <w:rFonts w:ascii="Calibri" w:hAnsi="Calibri" w:cs="Calibri"/>
            <w:color w:val="0000FF"/>
          </w:rPr>
          <w:t>абзаца первого пункта 18</w:t>
        </w:r>
      </w:hyperlink>
      <w:r>
        <w:rPr>
          <w:rFonts w:ascii="Calibri" w:hAnsi="Calibri" w:cs="Calibri"/>
        </w:rPr>
        <w:t xml:space="preserve"> в части сведений об иностранных гражданах, </w:t>
      </w:r>
      <w:hyperlink w:anchor="Par158" w:history="1">
        <w:r>
          <w:rPr>
            <w:rFonts w:ascii="Calibri" w:hAnsi="Calibri" w:cs="Calibri"/>
            <w:color w:val="0000FF"/>
          </w:rPr>
          <w:t>абзаца третьего пункта</w:t>
        </w:r>
        <w:proofErr w:type="gramEnd"/>
        <w:r>
          <w:rPr>
            <w:rFonts w:ascii="Calibri" w:hAnsi="Calibri" w:cs="Calibri"/>
            <w:color w:val="0000FF"/>
          </w:rPr>
          <w:t xml:space="preserve"> 19</w:t>
        </w:r>
      </w:hyperlink>
      <w:r>
        <w:rPr>
          <w:rFonts w:ascii="Calibri" w:hAnsi="Calibri" w:cs="Calibri"/>
        </w:rPr>
        <w:t xml:space="preserve">, </w:t>
      </w:r>
      <w:hyperlink w:anchor="Par164" w:history="1">
        <w:r>
          <w:rPr>
            <w:rFonts w:ascii="Calibri" w:hAnsi="Calibri" w:cs="Calibri"/>
            <w:color w:val="0000FF"/>
          </w:rPr>
          <w:t>абзацев второго</w:t>
        </w:r>
      </w:hyperlink>
      <w:r>
        <w:rPr>
          <w:rFonts w:ascii="Calibri" w:hAnsi="Calibri" w:cs="Calibri"/>
        </w:rPr>
        <w:t xml:space="preserve"> - </w:t>
      </w:r>
      <w:hyperlink w:anchor="Par167" w:history="1">
        <w:r>
          <w:rPr>
            <w:rFonts w:ascii="Calibri" w:hAnsi="Calibri" w:cs="Calibri"/>
            <w:color w:val="0000FF"/>
          </w:rPr>
          <w:t>пятого</w:t>
        </w:r>
      </w:hyperlink>
      <w:r>
        <w:rPr>
          <w:rFonts w:ascii="Calibri" w:hAnsi="Calibri" w:cs="Calibri"/>
        </w:rPr>
        <w:t xml:space="preserve">, </w:t>
      </w:r>
      <w:hyperlink w:anchor="Par173" w:history="1">
        <w:r>
          <w:rPr>
            <w:rFonts w:ascii="Calibri" w:hAnsi="Calibri" w:cs="Calibri"/>
            <w:color w:val="0000FF"/>
          </w:rPr>
          <w:t>седьмого</w:t>
        </w:r>
      </w:hyperlink>
      <w:r>
        <w:rPr>
          <w:rFonts w:ascii="Calibri" w:hAnsi="Calibri" w:cs="Calibri"/>
        </w:rPr>
        <w:t xml:space="preserve"> и </w:t>
      </w:r>
      <w:hyperlink w:anchor="Par178" w:history="1">
        <w:r>
          <w:rPr>
            <w:rFonts w:ascii="Calibri" w:hAnsi="Calibri" w:cs="Calibri"/>
            <w:color w:val="0000FF"/>
          </w:rPr>
          <w:t>восьмого пункта 20</w:t>
        </w:r>
      </w:hyperlink>
      <w:r>
        <w:rPr>
          <w:rFonts w:ascii="Calibri" w:hAnsi="Calibri" w:cs="Calibri"/>
        </w:rPr>
        <w:t xml:space="preserve">, </w:t>
      </w:r>
      <w:hyperlink w:anchor="Par185" w:history="1">
        <w:r>
          <w:rPr>
            <w:rFonts w:ascii="Calibri" w:hAnsi="Calibri" w:cs="Calibri"/>
            <w:color w:val="0000FF"/>
          </w:rPr>
          <w:t>абзаца третьего пункта 21</w:t>
        </w:r>
      </w:hyperlink>
      <w:r>
        <w:rPr>
          <w:rFonts w:ascii="Calibri" w:hAnsi="Calibri" w:cs="Calibri"/>
        </w:rPr>
        <w:t xml:space="preserve">, </w:t>
      </w:r>
      <w:hyperlink w:anchor="Par208" w:history="1">
        <w:r>
          <w:rPr>
            <w:rFonts w:ascii="Calibri" w:hAnsi="Calibri" w:cs="Calibri"/>
            <w:color w:val="0000FF"/>
          </w:rPr>
          <w:t>абзаца пятого пункта 25</w:t>
        </w:r>
      </w:hyperlink>
      <w:r>
        <w:rPr>
          <w:rFonts w:ascii="Calibri" w:hAnsi="Calibri" w:cs="Calibri"/>
        </w:rPr>
        <w:t xml:space="preserve"> Порядка, утвержденного настоящим приказом;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1 января 2015 года абзаца третьего </w:t>
      </w:r>
      <w:hyperlink w:anchor="Par51" w:history="1">
        <w:r>
          <w:rPr>
            <w:rFonts w:ascii="Calibri" w:hAnsi="Calibri" w:cs="Calibri"/>
            <w:color w:val="0000FF"/>
          </w:rPr>
          <w:t>пункта 5</w:t>
        </w:r>
      </w:hyperlink>
      <w:r>
        <w:rPr>
          <w:rFonts w:ascii="Calibri" w:hAnsi="Calibri" w:cs="Calibri"/>
        </w:rPr>
        <w:t xml:space="preserve">, </w:t>
      </w:r>
      <w:hyperlink w:anchor="Par77" w:history="1">
        <w:r>
          <w:rPr>
            <w:rFonts w:ascii="Calibri" w:hAnsi="Calibri" w:cs="Calibri"/>
            <w:color w:val="0000FF"/>
          </w:rPr>
          <w:t>абзаца пятого пункта 12</w:t>
        </w:r>
      </w:hyperlink>
      <w:r>
        <w:rPr>
          <w:rFonts w:ascii="Calibri" w:hAnsi="Calibri" w:cs="Calibri"/>
        </w:rPr>
        <w:t xml:space="preserve">, </w:t>
      </w:r>
      <w:hyperlink w:anchor="Par90" w:history="1">
        <w:r>
          <w:rPr>
            <w:rFonts w:ascii="Calibri" w:hAnsi="Calibri" w:cs="Calibri"/>
            <w:color w:val="0000FF"/>
          </w:rPr>
          <w:t>абзаца девятого пункта 13</w:t>
        </w:r>
      </w:hyperlink>
      <w:r>
        <w:rPr>
          <w:rFonts w:ascii="Calibri" w:hAnsi="Calibri" w:cs="Calibri"/>
        </w:rPr>
        <w:t xml:space="preserve">, </w:t>
      </w:r>
      <w:hyperlink w:anchor="Par151" w:history="1">
        <w:r>
          <w:rPr>
            <w:rFonts w:ascii="Calibri" w:hAnsi="Calibri" w:cs="Calibri"/>
            <w:color w:val="0000FF"/>
          </w:rPr>
          <w:t>абзаца второго пункта 18</w:t>
        </w:r>
      </w:hyperlink>
      <w:r>
        <w:rPr>
          <w:rFonts w:ascii="Calibri" w:hAnsi="Calibri" w:cs="Calibri"/>
        </w:rPr>
        <w:t xml:space="preserve"> Порядка, утвержденного настоящим приказом;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1 января 2016 года </w:t>
      </w:r>
      <w:hyperlink w:anchor="Par192" w:history="1">
        <w:r>
          <w:rPr>
            <w:rFonts w:ascii="Calibri" w:hAnsi="Calibri" w:cs="Calibri"/>
            <w:color w:val="0000FF"/>
          </w:rPr>
          <w:t>пункта 22</w:t>
        </w:r>
      </w:hyperlink>
      <w:r>
        <w:rPr>
          <w:rFonts w:ascii="Calibri" w:hAnsi="Calibri" w:cs="Calibri"/>
        </w:rPr>
        <w:t xml:space="preserve"> Порядка, утвержденного настоящим приказом.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 вступления в силу </w:t>
      </w:r>
      <w:hyperlink w:anchor="Par192" w:history="1">
        <w:r>
          <w:rPr>
            <w:rFonts w:ascii="Calibri" w:hAnsi="Calibri" w:cs="Calibri"/>
            <w:color w:val="0000FF"/>
          </w:rPr>
          <w:t>пункта 22</w:t>
        </w:r>
      </w:hyperlink>
      <w:r>
        <w:rPr>
          <w:rFonts w:ascii="Calibri" w:hAnsi="Calibri" w:cs="Calibri"/>
        </w:rPr>
        <w:t xml:space="preserve"> Порядка, утвержденного настоящим приказом, при формировании информации и документов для включения в реестр банковских гарантий указывается номер извещения об осуществлении закупки, размещенного на Официальном сайте, или уникальный номер контракта, в обеспечение которого выдана банковская гарантия, из реестра контрактов.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Уникальный номер контракта, в обеспечение которого выдана банковская гарантия, из реестра контрактов соответствует уникальному номеру реестровой записи в реестре контрактов, заключенных заказчиками, по соответствующему контракту. Уникальный номер контракта, в обеспечении которого выдана банковская гарантия, из реестра контрактов формируется для включения в реестр банковских гарантий в случае наличия. </w:t>
      </w:r>
      <w:proofErr w:type="gramStart"/>
      <w:r>
        <w:rPr>
          <w:rFonts w:ascii="Calibri" w:hAnsi="Calibri" w:cs="Calibri"/>
        </w:rPr>
        <w:t xml:space="preserve">Информация об уникальном номере контракта, в обеспечение которого выдана банковская гарантия, из реестра контрактов, формируется в федеральной информационной системе Федерального казначейства, доступ к </w:t>
      </w:r>
      <w:r>
        <w:rPr>
          <w:rFonts w:ascii="Calibri" w:hAnsi="Calibri" w:cs="Calibri"/>
        </w:rPr>
        <w:lastRenderedPageBreak/>
        <w:t>которой осуществляется через единый портал бюджетной системы Российской Федерации в информационно-телекоммуникационной сети "Интернет" (далее - информационная система), путем выбора соответствующего уникального номера реестровой записи из реестра контрактов, заключенных заказчиками.</w:t>
      </w:r>
      <w:proofErr w:type="gramEnd"/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номере извещения об осуществлении закупки, размещенного на Официальном сайте, формируется в информационной системе путем выбора соответствующей записи из полного перечня номеров извещений об осуществлении закупки, размещенного на Официальном сайте.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банковская гарантия выдана в качестве обеспечения исполнения контракта, заключаемого с единственным поставщиком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- </w:t>
      </w:r>
      <w:hyperlink r:id="rId13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 - </w:t>
      </w:r>
      <w:hyperlink r:id="rId15" w:history="1">
        <w:r>
          <w:rPr>
            <w:rFonts w:ascii="Calibri" w:hAnsi="Calibri" w:cs="Calibri"/>
            <w:color w:val="0000FF"/>
          </w:rPr>
          <w:t>28 части 1 статьи 93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номер извещения об осуществлении закупки не указывается.</w:t>
      </w:r>
      <w:proofErr w:type="gramEnd"/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А.Г.СИЛУАНОВ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Утвержден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финансов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18.12.2013 N 126н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7"/>
      <w:bookmarkEnd w:id="3"/>
      <w:r>
        <w:rPr>
          <w:rFonts w:ascii="Calibri" w:hAnsi="Calibri" w:cs="Calibri"/>
          <w:b/>
          <w:bCs/>
        </w:rPr>
        <w:t>ПОРЯДОК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ИНФОРМАЦИИ И ДОКУМЕНТОВ ДЛЯ ВЕДЕНИЯ РЕЕСТРА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БАНКОВСКИХ ГАРАНТИЙ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формирования информации и документов для ведения реестра банковских гарантий (далее - Порядок) устанавливает правила формирования информации и документов для ведения реестра банковских гарантий.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Информация и документы, включаемые в реестр банковских гарантий (далее соответственно - информация, документы, информация и документы, реестр), формируются: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банками, выдающими банковские гарантии, используемые для целей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банковские гарантии);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заказчиками, являющимися бенефициарами по банковским гарантиям (далее - заказчики).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Формирование банками, выдающими банковские гарантии, и заказчиками информации и документов, включаемых в реестр, осуществляется с использованием федеральной информационной системы Федерального казначейства, доступ к которой осуществляется через единый портал бюджетной системы Российской Федерации в информационно-телекоммуникационной сети "Интернет" (далее - информационная система), после прохождения процедуры регистрации в информационной системе в порядке, установленном для регистрации пользователей на официальном сайте Российской Федерации в информационно-телекоммуникационной сети</w:t>
      </w:r>
      <w:proofErr w:type="gramEnd"/>
      <w:r>
        <w:rPr>
          <w:rFonts w:ascii="Calibri" w:hAnsi="Calibri" w:cs="Calibri"/>
        </w:rPr>
        <w:t xml:space="preserve"> "Интернет" для размещения информации о размещении заказов на поставки товаров, выполнение работ, оказание услуг.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Информация и документы, формируемые заказчиками и банками, подписываются усиленной неквалифицированной электронной подписью (далее - электронная подпись) уполномоченного от их имени лица.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третий пункта 5 вступает в силу с 1 января 2015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lastRenderedPageBreak/>
        <w:t>5. Информация, включаемая в реестр, формируется в структурированном виде путем заполнения экранных форм веб-интерфейса информационной системы. При формировании информации применяются справочники, реестры и классификаторы, используемые в информационных системах управления государственными и муниципальными финансами в соответствии с настоящим Порядком.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соответствия формируемой информации сведениям Единого государственного реестра юридических лиц и Единого государственного реестра индивидуальных предпринимателей осуществляется посредством использования информации, предоставляемой Федеральному казначейству из указанных реестров в установленном порядке.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3"/>
      <w:bookmarkEnd w:id="5"/>
      <w:r>
        <w:rPr>
          <w:rFonts w:ascii="Calibri" w:hAnsi="Calibri" w:cs="Calibri"/>
        </w:rPr>
        <w:t>6. Документы, включаемые в реестр, формируются в виде электронной копии бумажного документа, созданной посредством его сканирования. Электронные копии документов должны иметь распространенные открытые форматы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Персональную ответственность за формирование информации и документов, за их полноту и достоверность несет уполномоченное от имени банка и/или заказчика лицо, чьей электронной подписью подписаны соответствующие сведения.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Информация и документы формируются на государственном языке Российской Федерации. Наименования иностранных юридических лиц и фамилия, имя, отчество (при наличии) иностранных физических лиц могут быть указаны с использованием букв латинского алфавита.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целях ведения реестра банк обеспечивает формирование следующей информации и документов: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а) наименование, место нахождения банка, являющегося гарантом (далее - банк),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наименование, место нахождения поставщика (подрядчика, исполнителя), являющегося принципалом (далее - поставщик),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наименование, место нахождения заказчика, идентификационный номер налогоплательщика;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денежная сумма, подлежащая уплате банком в случае неисполнения поставщиком в установленных случаях требований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действия банковской гарантии;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2"/>
      <w:bookmarkEnd w:id="7"/>
      <w:r>
        <w:rPr>
          <w:rFonts w:ascii="Calibri" w:hAnsi="Calibri" w:cs="Calibri"/>
        </w:rPr>
        <w:t>е) идентификационный код закупки;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3"/>
      <w:bookmarkEnd w:id="8"/>
      <w:r>
        <w:rPr>
          <w:rFonts w:ascii="Calibri" w:hAnsi="Calibri" w:cs="Calibri"/>
        </w:rPr>
        <w:t>ж) копия заключенного договора банковской гарантии;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4"/>
      <w:bookmarkEnd w:id="9"/>
      <w:r>
        <w:rPr>
          <w:rFonts w:ascii="Calibri" w:hAnsi="Calibri" w:cs="Calibri"/>
        </w:rPr>
        <w:t>з) копия документа о внесении изменений в условия банковской гарантии (при наличии).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5"/>
      <w:bookmarkEnd w:id="10"/>
      <w:r>
        <w:rPr>
          <w:rFonts w:ascii="Calibri" w:hAnsi="Calibri" w:cs="Calibri"/>
        </w:rPr>
        <w:t>10. В случае отказа в принятии банковской гарантии заказчик обеспечивает формирование информации об отказе заказчика в принятии банковской гарантии.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66"/>
      <w:bookmarkEnd w:id="11"/>
      <w:r>
        <w:rPr>
          <w:rFonts w:ascii="Calibri" w:hAnsi="Calibri" w:cs="Calibri"/>
        </w:rPr>
        <w:t>К информации об отказе заказчика в принятии банковской гарантии в адрес поставщика прилагается соответствующий документ заказчика, содержащий информацию об отказе в принятии банковской гарантии с указанием причин, послуживших основанием для отказа.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Сведения, указанные в </w:t>
      </w:r>
      <w:hyperlink w:anchor="Par5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62" w:history="1">
        <w:r>
          <w:rPr>
            <w:rFonts w:ascii="Calibri" w:hAnsi="Calibri" w:cs="Calibri"/>
            <w:color w:val="0000FF"/>
          </w:rPr>
          <w:t>"е" пункта 9</w:t>
        </w:r>
      </w:hyperlink>
      <w:r>
        <w:rPr>
          <w:rFonts w:ascii="Calibri" w:hAnsi="Calibri" w:cs="Calibri"/>
        </w:rPr>
        <w:t xml:space="preserve"> и в </w:t>
      </w:r>
      <w:hyperlink w:anchor="Par65" w:history="1">
        <w:r>
          <w:rPr>
            <w:rFonts w:ascii="Calibri" w:hAnsi="Calibri" w:cs="Calibri"/>
            <w:color w:val="0000FF"/>
          </w:rPr>
          <w:t>абзаце первом пункта 10</w:t>
        </w:r>
      </w:hyperlink>
      <w:r>
        <w:rPr>
          <w:rFonts w:ascii="Calibri" w:hAnsi="Calibri" w:cs="Calibri"/>
        </w:rPr>
        <w:t xml:space="preserve"> настоящего Порядка, включаются в реестр в виде информации в соответствии с </w:t>
      </w:r>
      <w:hyperlink w:anchor="Par51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Сведения, указанные в </w:t>
      </w:r>
      <w:hyperlink w:anchor="Par63" w:history="1">
        <w:r>
          <w:rPr>
            <w:rFonts w:ascii="Calibri" w:hAnsi="Calibri" w:cs="Calibri"/>
            <w:color w:val="0000FF"/>
          </w:rPr>
          <w:t>подпунктах "ж"</w:t>
        </w:r>
      </w:hyperlink>
      <w:r>
        <w:rPr>
          <w:rFonts w:ascii="Calibri" w:hAnsi="Calibri" w:cs="Calibri"/>
        </w:rPr>
        <w:t xml:space="preserve"> и </w:t>
      </w:r>
      <w:hyperlink w:anchor="Par64" w:history="1">
        <w:r>
          <w:rPr>
            <w:rFonts w:ascii="Calibri" w:hAnsi="Calibri" w:cs="Calibri"/>
            <w:color w:val="0000FF"/>
          </w:rPr>
          <w:t>"з" пункта 9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абзаце втором пункта 10</w:t>
        </w:r>
      </w:hyperlink>
      <w:r>
        <w:rPr>
          <w:rFonts w:ascii="Calibri" w:hAnsi="Calibri" w:cs="Calibri"/>
        </w:rPr>
        <w:t xml:space="preserve"> настоящего Порядка, включаются в реестр в виде документа в соответствии с </w:t>
      </w:r>
      <w:hyperlink w:anchor="Par53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формировании информации о наименовании банка, наименовании заказчика, наименовании поставщика (за исключением иностранных юридических лиц и индивидуальных предпринимателей) указываются следующие сведения: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банка, заказчика, поставщика в соответствии со сведениями Единого государственного реестра юридических лиц;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сокращенное наименование банка, заказчика, поставщика (при наличии) в соответствии со сведениями Единого государственного реестра юридических лиц;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организационно-правовой формы банка, заказчика, поставщика в соответствии с Общероссийским </w:t>
      </w:r>
      <w:hyperlink r:id="rId18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организационно-правовых форм.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пятый пункта 12 вступает в силу с 1 января 2015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7"/>
      <w:bookmarkEnd w:id="12"/>
      <w:proofErr w:type="gramStart"/>
      <w:r>
        <w:rPr>
          <w:rFonts w:ascii="Calibri" w:hAnsi="Calibri" w:cs="Calibri"/>
        </w:rPr>
        <w:t>Информация о полном и сокращенном (при наличии) наименованиях банка, заказчика, поставщика, а также их организационно-правовой форме формируется в информационной системе автоматически после указания идентификационного номера налогоплательщика соответственно банка, заказчика, поставщика и соответствует сведениям Единого государственного реестра юридических лиц.</w:t>
      </w:r>
      <w:proofErr w:type="gramEnd"/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формировании информации о месте нахождения банка, заказчика, поставщика (за исключением иностранных юридических лиц и индивидуальных предпринимателей) указываются следующие сведения: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наименование субъекта Российской Федерации и кодовое обозначение субъекта Российской Федерации, установленное Федеральной налоговой службой в соответствии с федеративным устройством Российской Федерации, определенным </w:t>
      </w:r>
      <w:hyperlink r:id="rId19" w:history="1">
        <w:r>
          <w:rPr>
            <w:rFonts w:ascii="Calibri" w:hAnsi="Calibri" w:cs="Calibri"/>
            <w:color w:val="0000FF"/>
          </w:rPr>
          <w:t>статьей 65</w:t>
        </w:r>
      </w:hyperlink>
      <w:r>
        <w:rPr>
          <w:rFonts w:ascii="Calibri" w:hAnsi="Calibri" w:cs="Calibri"/>
        </w:rPr>
        <w:t xml:space="preserve"> Конституции Российской Федерации, в целях ведения Единого государственного реестра юридических лиц;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индекс места нахождения банка, заказчика, поставщика;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 населенного пункта, наименование населенного пункта, код населенного пункта в соответствии с Общероссийским </w:t>
      </w:r>
      <w:hyperlink r:id="rId20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территорий муниципальных образований;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наименование элемента планировочной структуры (при наличии);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наименование объекта улично-дорожной сети (при наличии);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цифровое или буквенно-цифровое обозначение объекта адресации (при наличии).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формировании информации о месте нахождения банка, заказчика, поставщика (за исключением иностранных юридических лиц и индивидуальных предпринимателей) указывается место нахождения постоянно действующего исполнительного органа соответственно банка, заказчика, поставщика (в случае отсутствия постоянно действующего исполнительного органа банка, заказчика, исполнителя - иного органа или лица, имеющих право действовать от имени соответственно банка, заказчика, поставщика без доверенности), по которому осуществляется связь с банком, заказчиком</w:t>
      </w:r>
      <w:proofErr w:type="gramEnd"/>
      <w:r>
        <w:rPr>
          <w:rFonts w:ascii="Calibri" w:hAnsi="Calibri" w:cs="Calibri"/>
        </w:rPr>
        <w:t>, поставщиком.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девятый пункта 13 вступает в силу с 1 января 2015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90"/>
      <w:bookmarkEnd w:id="13"/>
      <w:r>
        <w:rPr>
          <w:rFonts w:ascii="Calibri" w:hAnsi="Calibri" w:cs="Calibri"/>
        </w:rPr>
        <w:t>Информация о месте нахождения банка, заказчика, поставщика формируется в информационной системе автоматически после указания идентификационного номера налогоплательщика соответственно банка, заказчика, поставщика и соответствует сведениям Единого государственного реестра юридических лиц.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десятый пункта 13 вступает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95"/>
      <w:bookmarkEnd w:id="14"/>
      <w:r>
        <w:rPr>
          <w:rFonts w:ascii="Calibri" w:hAnsi="Calibri" w:cs="Calibri"/>
        </w:rPr>
        <w:t xml:space="preserve">Информация о коде населенного пункта места нахождения банка, заказчика, поставщика в соответствии с Общероссийским </w:t>
      </w:r>
      <w:hyperlink r:id="rId21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классификатора объектов административно-территориального деления кодам Общероссийского </w:t>
      </w:r>
      <w:hyperlink r:id="rId22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территорий муниципальных образований.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формировании информации об идентификационном номере налогоплательщика банка, заказчика, поставщика указываются следующие сведения: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идентификационный номер налогоплательщика </w:t>
      </w:r>
      <w:proofErr w:type="gramStart"/>
      <w:r>
        <w:rPr>
          <w:rFonts w:ascii="Calibri" w:hAnsi="Calibri" w:cs="Calibri"/>
        </w:rPr>
        <w:t>в соответствии со свидетельством о постановке на учет в налоговом органе</w:t>
      </w:r>
      <w:proofErr w:type="gramEnd"/>
      <w:r>
        <w:rPr>
          <w:rFonts w:ascii="Calibri" w:hAnsi="Calibri" w:cs="Calibri"/>
        </w:rPr>
        <w:t>;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третий пункта 14 </w:t>
      </w:r>
      <w:proofErr w:type="gramStart"/>
      <w:r>
        <w:rPr>
          <w:rFonts w:ascii="Calibri" w:hAnsi="Calibri" w:cs="Calibri"/>
        </w:rPr>
        <w:t>в части даты постановки на учет в налоговом органе в соответствии со свидетельством</w:t>
      </w:r>
      <w:proofErr w:type="gramEnd"/>
      <w:r>
        <w:rPr>
          <w:rFonts w:ascii="Calibri" w:hAnsi="Calibri" w:cs="Calibri"/>
        </w:rPr>
        <w:t xml:space="preserve"> о постановке на учет в налоговом органе вступает в силу с 1 июля 2014 года </w:t>
      </w:r>
      <w:r>
        <w:rPr>
          <w:rFonts w:ascii="Calibri" w:hAnsi="Calibri" w:cs="Calibri"/>
        </w:rPr>
        <w:lastRenderedPageBreak/>
        <w:t>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02"/>
      <w:bookmarkEnd w:id="15"/>
      <w:r>
        <w:rPr>
          <w:rFonts w:ascii="Calibri" w:hAnsi="Calibri" w:cs="Calibri"/>
        </w:rPr>
        <w:t xml:space="preserve">код причины и дата постановки </w:t>
      </w:r>
      <w:proofErr w:type="gramStart"/>
      <w:r>
        <w:rPr>
          <w:rFonts w:ascii="Calibri" w:hAnsi="Calibri" w:cs="Calibri"/>
        </w:rPr>
        <w:t>на учет в налоговом органе в соответствии со свидетельством о постановке</w:t>
      </w:r>
      <w:proofErr w:type="gramEnd"/>
      <w:r>
        <w:rPr>
          <w:rFonts w:ascii="Calibri" w:hAnsi="Calibri" w:cs="Calibri"/>
        </w:rPr>
        <w:t xml:space="preserve"> на учет в налоговом органе.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формировании информации о наименовании поставщика, являющегося иностранным юридическим лицом, указывается полное наименование иностранного юридического лица на русском языке.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второй пункта 15 вступает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08"/>
      <w:bookmarkEnd w:id="16"/>
      <w:r>
        <w:rPr>
          <w:rFonts w:ascii="Calibri" w:hAnsi="Calibri" w:cs="Calibri"/>
        </w:rPr>
        <w:t>Дополнительно полное наименование иностранного юридического лица может указываться с использованием букв латинского алфавита.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формировании информации о месте нахождения поставщика, являющегося иностранным юридическим лицом, указываются следующие сведения о месте нахождения иностранного юридического лица в стране его регистрации: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второй пункта 16 вступает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4"/>
      <w:bookmarkEnd w:id="17"/>
      <w:r>
        <w:rPr>
          <w:rFonts w:ascii="Calibri" w:hAnsi="Calibri" w:cs="Calibri"/>
        </w:rPr>
        <w:t xml:space="preserve">страна регистрации иностранного юридического лица и код страны регистрации иностранного юридического лица в соответствии с Общероссийским </w:t>
      </w:r>
      <w:hyperlink r:id="rId23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стран мира (ОКСМ);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индекс;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населенного пункта, наименование населенного пункта лица;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наименование элемента планировочной структуры (при наличии);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наименование объекта улично-дорожной сети (при наличии);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цифровое или буквенно-цифровое обозначение объекта адресации (при наличии).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Абзацы восьмой - четырнадцатый пункта 16 вступают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24"/>
      <w:bookmarkEnd w:id="18"/>
      <w:r>
        <w:rPr>
          <w:rFonts w:ascii="Calibri" w:hAnsi="Calibri" w:cs="Calibri"/>
        </w:rPr>
        <w:t>При налич</w:t>
      </w:r>
      <w:proofErr w:type="gramStart"/>
      <w:r>
        <w:rPr>
          <w:rFonts w:ascii="Calibri" w:hAnsi="Calibri" w:cs="Calibri"/>
        </w:rPr>
        <w:t>ии у и</w:t>
      </w:r>
      <w:proofErr w:type="gramEnd"/>
      <w:r>
        <w:rPr>
          <w:rFonts w:ascii="Calibri" w:hAnsi="Calibri" w:cs="Calibri"/>
        </w:rPr>
        <w:t>ностранного юридического лица места пребывания на территории Российской Федерации дополнительно указываются следующие сведения о месте пребывания иностранного юридического лица на территории Российской Федерации: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наименование субъекта Российской Федерации и кодовое обозначение субъекта Российской Федерации, установленное Федеральной налоговой службой в соответствии с федеративным устройством Российской Федерации, определенным </w:t>
      </w:r>
      <w:hyperlink r:id="rId24" w:history="1">
        <w:r>
          <w:rPr>
            <w:rFonts w:ascii="Calibri" w:hAnsi="Calibri" w:cs="Calibri"/>
            <w:color w:val="0000FF"/>
          </w:rPr>
          <w:t>статьей 65</w:t>
        </w:r>
      </w:hyperlink>
      <w:r>
        <w:rPr>
          <w:rFonts w:ascii="Calibri" w:hAnsi="Calibri" w:cs="Calibri"/>
        </w:rPr>
        <w:t xml:space="preserve"> Конституции Российской Федерации, в целях ведения Единого государственного реестра юридических лиц;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индекс;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 населенного пункта, наименование населенного пункта, код населенного пункта в соответствии с Общероссийским </w:t>
      </w:r>
      <w:hyperlink r:id="rId2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территорий муниципальных образований;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наименование элемента планировочной структуры (при наличии);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 и наименование объекта улично-дорожной сети (при наличии);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30"/>
      <w:bookmarkEnd w:id="19"/>
      <w:r>
        <w:rPr>
          <w:rFonts w:ascii="Calibri" w:hAnsi="Calibri" w:cs="Calibri"/>
        </w:rPr>
        <w:t>тип и цифровое или буквенно-цифровое обозначение объекта адресации (при наличии).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банка, поставщика, являющегося иностранным юридическим лицом, указываются следующие сведения: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иностранных юридических лиц, состоящих на учете в налоговых органах на территории Российской Федерации: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идентификационный номер налогоплательщика </w:t>
      </w:r>
      <w:proofErr w:type="gramStart"/>
      <w:r>
        <w:rPr>
          <w:rFonts w:ascii="Calibri" w:hAnsi="Calibri" w:cs="Calibri"/>
        </w:rPr>
        <w:t>в соответствии со свидетельством о постановке на учет в налоговом органе</w:t>
      </w:r>
      <w:proofErr w:type="gramEnd"/>
      <w:r>
        <w:rPr>
          <w:rFonts w:ascii="Calibri" w:hAnsi="Calibri" w:cs="Calibri"/>
        </w:rPr>
        <w:t>;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четвертый пункта 17 вступает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8"/>
      <w:bookmarkEnd w:id="20"/>
      <w:r>
        <w:rPr>
          <w:rFonts w:ascii="Calibri" w:hAnsi="Calibri" w:cs="Calibri"/>
        </w:rPr>
        <w:t xml:space="preserve">код причины и дата постановки </w:t>
      </w:r>
      <w:proofErr w:type="gramStart"/>
      <w:r>
        <w:rPr>
          <w:rFonts w:ascii="Calibri" w:hAnsi="Calibri" w:cs="Calibri"/>
        </w:rPr>
        <w:t>на учет в налоговом органе в соответствии со свидетельством о постановке</w:t>
      </w:r>
      <w:proofErr w:type="gramEnd"/>
      <w:r>
        <w:rPr>
          <w:rFonts w:ascii="Calibri" w:hAnsi="Calibri" w:cs="Calibri"/>
        </w:rPr>
        <w:t xml:space="preserve"> на учет в налоговом органе;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код налогоплательщика в стране регистрации или его аналог,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иностранных юридических лиц, не состоящих на учете в налоговых органах на территории Российской Федерации: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налогоплательщика в стране регистрации или его аналог.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первый пункта 18 в части сведений об иностранных гражданах вступает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46"/>
      <w:bookmarkEnd w:id="21"/>
      <w:r>
        <w:rPr>
          <w:rFonts w:ascii="Calibri" w:hAnsi="Calibri" w:cs="Calibri"/>
        </w:rPr>
        <w:t>18. При формировании информации о наименовании поставщика, являющегося индивидуальным предпринимателем, указывается фамилия, имя и (в случае, если имеется) отчество на русском языке. Для иностранных граждан данные сведения дополнительно могут указываться с использованием букв латинского алфавита.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второй пункта 18 вступает в силу с 1 января 2015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51"/>
      <w:bookmarkEnd w:id="22"/>
      <w:r>
        <w:rPr>
          <w:rFonts w:ascii="Calibri" w:hAnsi="Calibri" w:cs="Calibri"/>
        </w:rPr>
        <w:t>Информация о наименовании поставщика, являющегося индивидуальным предпринимателем, формируется в информационной системе автоматически после указания идентификационного номера налогоплательщика поставщика и соответствует сведениям Единого государственного реестра индивидуальных предпринимателей.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При формировании информации об идентификационном номере налогоплательщика поставщика, являющегося индивидуальным предпринимателем, указываются следующие сведения: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идентификационный номер налогоплательщика индивидуального предпринимателя </w:t>
      </w:r>
      <w:proofErr w:type="gramStart"/>
      <w:r>
        <w:rPr>
          <w:rFonts w:ascii="Calibri" w:hAnsi="Calibri" w:cs="Calibri"/>
        </w:rPr>
        <w:t>в соответствии со свидетельством о постановке на учет в налоговом органе</w:t>
      </w:r>
      <w:proofErr w:type="gramEnd"/>
      <w:r>
        <w:rPr>
          <w:rFonts w:ascii="Calibri" w:hAnsi="Calibri" w:cs="Calibri"/>
        </w:rPr>
        <w:t>;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третий пункта 19 вступает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58"/>
      <w:bookmarkEnd w:id="23"/>
      <w:r>
        <w:rPr>
          <w:rFonts w:ascii="Calibri" w:hAnsi="Calibri" w:cs="Calibri"/>
        </w:rPr>
        <w:t xml:space="preserve">дата постановки </w:t>
      </w:r>
      <w:proofErr w:type="gramStart"/>
      <w:r>
        <w:rPr>
          <w:rFonts w:ascii="Calibri" w:hAnsi="Calibri" w:cs="Calibri"/>
        </w:rPr>
        <w:t>на учет индивидуального предпринимателя в соответствии со свидетельством о постановке на учет</w:t>
      </w:r>
      <w:proofErr w:type="gramEnd"/>
      <w:r>
        <w:rPr>
          <w:rFonts w:ascii="Calibri" w:hAnsi="Calibri" w:cs="Calibri"/>
        </w:rPr>
        <w:t xml:space="preserve"> в налоговом органе.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При формировании информации о денежной сумме, подлежащей уплате гарантом в случае неисполнения участником закупки в установленных случаях требований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нужд", указываются следующие сведения: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Абзацы второй - пятый пункта 20 вступают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64"/>
      <w:bookmarkEnd w:id="24"/>
      <w:r>
        <w:rPr>
          <w:rFonts w:ascii="Calibri" w:hAnsi="Calibri" w:cs="Calibri"/>
        </w:rPr>
        <w:t xml:space="preserve">наименование и код валюты, в которой указывается денежная сумма, в соответствии с Общероссийским </w:t>
      </w:r>
      <w:hyperlink r:id="rId27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валют;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денежной суммы в единице валюты с точностью до сотого знака после запятой.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указания денежной суммы в иностранной валюте дополнительно указывается следующая информация: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67"/>
      <w:bookmarkEnd w:id="25"/>
      <w:r>
        <w:rPr>
          <w:rFonts w:ascii="Calibri" w:hAnsi="Calibri" w:cs="Calibri"/>
        </w:rPr>
        <w:t>курс иностранной валюты по отношению к рублю на дату выдачи банковской гарантии, установленный Центральным банком Российской Федерации;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денежной суммы, указанной в иностранной валюте, в рублевом эквиваленте.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седьмой пункта 20 вступает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73"/>
      <w:bookmarkEnd w:id="26"/>
      <w:r>
        <w:rPr>
          <w:rFonts w:ascii="Calibri" w:hAnsi="Calibri" w:cs="Calibri"/>
        </w:rPr>
        <w:t>Информация о курсе иностранной валюты по отношению к рублю на дату заключения банковской гарантии формируется в информационной системе автоматически на основании сведений Министерства финансов Российской Федерации о курсах иностранных валют, предоставляемых Министерству финансов Российской Федерации Центральным банком Российской Федерации.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восьмой пункта 20 вступает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78"/>
      <w:bookmarkEnd w:id="27"/>
      <w:r>
        <w:rPr>
          <w:rFonts w:ascii="Calibri" w:hAnsi="Calibri" w:cs="Calibri"/>
        </w:rPr>
        <w:lastRenderedPageBreak/>
        <w:t>Информация о размере денежной суммы, указанной в иностранной валюте, в рублевом эквиваленте, формируется в информационной системе автоматически как произведение размера денежной суммы в единице валюты и курса иностранной валюты по отношению к рублю на дату выдачи банковской гарантии, установленного Центральным банком Российской Федерации.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При формировании информации о сроке действия банковской гарантии указываются следующие сведения: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выдачи банковской гарантии;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третий пункта 21 вступает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85"/>
      <w:bookmarkEnd w:id="28"/>
      <w:r>
        <w:rPr>
          <w:rFonts w:ascii="Calibri" w:hAnsi="Calibri" w:cs="Calibri"/>
        </w:rPr>
        <w:t>дата вступления в силу банковской гарантии;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окончания срока действия банковской гарантии.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указывается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22 вступает в силу с 1 января 2016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92"/>
      <w:bookmarkEnd w:id="29"/>
      <w:r>
        <w:rPr>
          <w:rFonts w:ascii="Calibri" w:hAnsi="Calibri" w:cs="Calibri"/>
        </w:rPr>
        <w:t>22. При формировании информации об идентификационном коде закупки указывается идентификационный код закупки, сформированный в установленном порядке.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идентификационном коде закупки формируется в информационной системе путем выбора соответствующей записи из полного перечня идентификационных кодов закупок, размещенных в единой информационной системе.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 формировании информации об отказе заказчика в принятии банковской гарантии указываются следующие сведения: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</w:t>
      </w:r>
      <w:proofErr w:type="gramStart"/>
      <w:r>
        <w:rPr>
          <w:rFonts w:ascii="Calibri" w:hAnsi="Calibri" w:cs="Calibri"/>
        </w:rPr>
        <w:t>а(</w:t>
      </w:r>
      <w:proofErr w:type="gramEnd"/>
      <w:r>
        <w:rPr>
          <w:rFonts w:ascii="Calibri" w:hAnsi="Calibri" w:cs="Calibri"/>
        </w:rPr>
        <w:t xml:space="preserve">ы), послужившая основанием для отказа в принятии банковской гарантии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частью 6 статьи 45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 код(ов) причины (причин) отказа в принятии банковской гарантии в соответствии с </w:t>
      </w:r>
      <w:hyperlink w:anchor="Par227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и дата документа заказчика в адрес поставщика о направлении информации об отказе в принятии банковской гарантии.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указывается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причин</w:t>
      </w:r>
      <w:proofErr w:type="gramStart"/>
      <w:r>
        <w:rPr>
          <w:rFonts w:ascii="Calibri" w:hAnsi="Calibri" w:cs="Calibri"/>
        </w:rPr>
        <w:t>е(</w:t>
      </w:r>
      <w:proofErr w:type="gramEnd"/>
      <w:r>
        <w:rPr>
          <w:rFonts w:ascii="Calibri" w:hAnsi="Calibri" w:cs="Calibri"/>
        </w:rPr>
        <w:t xml:space="preserve">ах), послужившей основанием для отказа в принятии банковской гарантии, формируется в информационной системе автоматически после указания кода(ов) причины (причин) отказа в принятии банковской гарантии в соответствии с </w:t>
      </w:r>
      <w:hyperlink w:anchor="Par227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При формировании банком и заказчиком информации и документов, предусматривающих изменение (дополнение) реестровой записи реестра, банк и заказчик обеспечивают указание уникального номера реестровой записи реестра, в которую вносятся изменения (дополнения) в формате утвержденной в установленном порядке структуры уникального номера реестровой записи реестра.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После присвоения Федеральным казначейством реестровой записи реестра уникального номера и размещения ее в единой информационной системе в сфере закупок банком формируется выписка из реестра.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реестра формируется в информационной системе автоматически на основании информации, включенной в реестровую запись реестра, и содержит: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информацию, включенную в реестровую запись реестра, сформированную в соответствии с настоящим Порядком;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уникальный номер реестровой записи </w:t>
      </w:r>
      <w:proofErr w:type="gramStart"/>
      <w:r>
        <w:rPr>
          <w:rFonts w:ascii="Calibri" w:hAnsi="Calibri" w:cs="Calibri"/>
        </w:rPr>
        <w:t>реестра</w:t>
      </w:r>
      <w:proofErr w:type="gramEnd"/>
      <w:r>
        <w:rPr>
          <w:rFonts w:ascii="Calibri" w:hAnsi="Calibri" w:cs="Calibri"/>
        </w:rPr>
        <w:t xml:space="preserve"> в формате утвержденной в установленном порядке структуры уникального номера реестровой записи реестра;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пятый пункта 25 вступает в силу с 1 июля 2014 года (</w:t>
      </w:r>
      <w:hyperlink w:anchor="Par16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08"/>
      <w:bookmarkEnd w:id="30"/>
      <w:r>
        <w:rPr>
          <w:rFonts w:ascii="Calibri" w:hAnsi="Calibri" w:cs="Calibri"/>
        </w:rPr>
        <w:t>дату присвоения уникального номера реестровой записи реестра;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размещения реестровой записи в составе реестра в единой информационной системе в сфере закупок.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Дата указывается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 осуществляет распечатку выписки из реестра из информационной системы, подписывает ее уполномоченным лицом от имени банка и скрепляет печатью банка.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217"/>
      <w:bookmarkEnd w:id="31"/>
      <w:r>
        <w:rPr>
          <w:rFonts w:ascii="Calibri" w:hAnsi="Calibri" w:cs="Calibri"/>
        </w:rPr>
        <w:t>Приложение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формирования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и документов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ведения реестра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банковских гарантий,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финансов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18.12.2013 N 126н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2" w:name="Par227"/>
      <w:bookmarkEnd w:id="32"/>
      <w:r>
        <w:rPr>
          <w:rFonts w:ascii="Calibri" w:hAnsi="Calibri" w:cs="Calibri"/>
        </w:rPr>
        <w:t>КОДЫ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ПРИЧИНЫ ОТКАЗА ЗАКАЗЧИКА В ПРИНЯТИИ БАНКОВСКОЙ ГАРАНТИИ</w:t>
      </w: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906420" w:rsidSect="00A35F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08"/>
        <w:gridCol w:w="1752"/>
      </w:tblGrid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Причина отказа заказчика в принятии банковской гарантии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причины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Несоответствие банковской гарантии условиям, указанным в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части 2 статьи 45</w:t>
              </w:r>
            </w:hyperlink>
            <w:r>
              <w:rPr>
                <w:rFonts w:ascii="Calibri" w:hAnsi="Calibri" w:cs="Calibri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в части отсутствия в банковской гарантии: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суммы банковской гарантии, подлежащей уплате гарантом заказчику в установленных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частью 13 статьи 44</w:t>
              </w:r>
            </w:hyperlink>
            <w:r>
              <w:rPr>
                <w:rFonts w:ascii="Calibri" w:hAnsi="Calibri" w:cs="Calibri"/>
              </w:rPr>
              <w:t xml:space="preserve"> Федерального закона случаях, или суммы банковской гарантии, подлежащей уплате гарантом заказчику в случае ненадлежащего исполнения обязательств принципалом в соответствии со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статьей 96</w:t>
              </w:r>
            </w:hyperlink>
            <w:r>
              <w:rPr>
                <w:rFonts w:ascii="Calibri" w:hAnsi="Calibri" w:cs="Calibri"/>
              </w:rPr>
              <w:t xml:space="preserve"> Федерального закона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обязатель</w:t>
            </w:r>
            <w:proofErr w:type="gramStart"/>
            <w:r>
              <w:rPr>
                <w:rFonts w:ascii="Calibri" w:hAnsi="Calibri" w:cs="Calibri"/>
              </w:rPr>
              <w:t>ств пр</w:t>
            </w:r>
            <w:proofErr w:type="gramEnd"/>
            <w:r>
              <w:rPr>
                <w:rFonts w:ascii="Calibri" w:hAnsi="Calibri" w:cs="Calibri"/>
              </w:rPr>
              <w:t>инципала, надлежащее исполнение которых обеспечивается банковской гарантией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обязанности гаранта уплатить заказчику неустойку в размере 0,1 процента денежной суммы, подлежащей уплате за каждый календарный день просрочки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условия, согласно которому исполнением обязательств гаранта по банковской гарантии является фактическое поступление денежных сумм на счет заказчика, на котором в соответствии с законодательством Российской Федерации учитываются операции со средствами, поступающими заказчику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срока действия банковской гарантии с учетом требований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статей 43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96</w:t>
              </w:r>
            </w:hyperlink>
            <w:r>
              <w:rPr>
                <w:rFonts w:ascii="Calibri" w:hAnsi="Calibri" w:cs="Calibri"/>
              </w:rPr>
              <w:t xml:space="preserve"> Федерального закона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отлагательного условия, предусматривающего заключение договора предоставления банковской гарантии по обязательствам принципала, возникающим из контракта при его заключении, в случае предоставления банковской гарантии в качестве обеспечения исполнения контракта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установленного Правительством Российской Федерации перечня документов, предоставляемых заказчиком банку одновременно с требованием об осуществлении уплаты денежной суммы по банковской гарантии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Несоответствие банковской гарантии условиям, указанным в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части 3 статьи 45</w:t>
              </w:r>
            </w:hyperlink>
            <w:r>
              <w:rPr>
                <w:rFonts w:ascii="Calibri" w:hAnsi="Calibri" w:cs="Calibri"/>
              </w:rPr>
              <w:t xml:space="preserve"> Федерального закона в части отсутствия в банковской гарантии в случае, предусмотренном извещением об осуществлении закупки, документацией о закупке, проектом контракта, заключаемого с единственным поставщиком (подрядчиком, исполнителем), условия о праве заказчика на бесспорное списание денежных средств со счета гаранта, если гарантом в срок не более чем </w:t>
            </w:r>
            <w:r>
              <w:rPr>
                <w:rFonts w:ascii="Calibri" w:hAnsi="Calibri" w:cs="Calibri"/>
              </w:rPr>
              <w:lastRenderedPageBreak/>
              <w:t>пять рабочих дней не исполнено</w:t>
            </w:r>
            <w:proofErr w:type="gramEnd"/>
            <w:r>
              <w:rPr>
                <w:rFonts w:ascii="Calibri" w:hAnsi="Calibri" w:cs="Calibri"/>
              </w:rPr>
              <w:t xml:space="preserve"> требование заказчика об уплате денежной суммы по банковской гарантии, направленное до окончания срока действия банковской гарантии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Несоответствие банковской гарантии требованиям, содержащимся в извещении об осуществлении закупки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Несоответствие банковской гарантии требованиям, содержащимся в приглашении принять участие в определении поставщика (подрядчика, исполнителя)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Несоответствие банковской гарантии требованиям, содержащимся в документации о закупке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90642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Несоответствие банковской гарантии требованиям, содержащимся в проекте контракта, который заключается с единственным поставщиком (подрядчиком, исполнителем)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20" w:rsidRDefault="00906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</w:tbl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6420" w:rsidRDefault="0090642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27C12" w:rsidRDefault="00027C12">
      <w:bookmarkStart w:id="33" w:name="_GoBack"/>
      <w:bookmarkEnd w:id="33"/>
    </w:p>
    <w:sectPr w:rsidR="00027C1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20"/>
    <w:rsid w:val="00027C12"/>
    <w:rsid w:val="0090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B18E12D8C5385CEDE0FCE4E9E7034864CBA7599E5F77D4BA66161F9FC928C8938785CA4A9C9E9T0y3E" TargetMode="External"/><Relationship Id="rId13" Type="http://schemas.openxmlformats.org/officeDocument/2006/relationships/hyperlink" Target="consultantplus://offline/ref=B1EB18E12D8C5385CEDE0FCE4E9E7034864CBA7599E5F77D4BA66161F9FC928C8938785CA4A9CCE6T0yAE" TargetMode="External"/><Relationship Id="rId18" Type="http://schemas.openxmlformats.org/officeDocument/2006/relationships/hyperlink" Target="consultantplus://offline/ref=B1EB18E12D8C5385CEDE0FCE4E9E7034864CBF7C9CEBF77D4BA66161F9TFyCE" TargetMode="External"/><Relationship Id="rId26" Type="http://schemas.openxmlformats.org/officeDocument/2006/relationships/hyperlink" Target="consultantplus://offline/ref=B1EB18E12D8C5385CEDE0FCE4E9E7034864CBA7599E5F77D4BA66161F9TFy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EB18E12D8C5385CEDE0FCE4E9E7034864DB47C9BE3F77D4BA66161F9TFyCE" TargetMode="External"/><Relationship Id="rId34" Type="http://schemas.openxmlformats.org/officeDocument/2006/relationships/hyperlink" Target="consultantplus://offline/ref=B1EB18E12D8C5385CEDE0FCE4E9E7034864CBA7599E5F77D4BA66161F9FC928C8938785CA4A8CBEBT0y3E" TargetMode="External"/><Relationship Id="rId7" Type="http://schemas.openxmlformats.org/officeDocument/2006/relationships/hyperlink" Target="consultantplus://offline/ref=B1EB18E12D8C5385CEDE0FCE4E9E7034864CBA7599E5F77D4BA66161F9FC928C8938785CA4A9CCE8T0yBE" TargetMode="External"/><Relationship Id="rId12" Type="http://schemas.openxmlformats.org/officeDocument/2006/relationships/hyperlink" Target="consultantplus://offline/ref=B1EB18E12D8C5385CEDE0FCE4E9E7034864CBA7599E5F77D4BA66161F9FC928C8938785CA4A9CCE9T0yDE" TargetMode="External"/><Relationship Id="rId17" Type="http://schemas.openxmlformats.org/officeDocument/2006/relationships/hyperlink" Target="consultantplus://offline/ref=B1EB18E12D8C5385CEDE0FCE4E9E7034864CBA7599E5F77D4BA66161F9TFyCE" TargetMode="External"/><Relationship Id="rId25" Type="http://schemas.openxmlformats.org/officeDocument/2006/relationships/hyperlink" Target="consultantplus://offline/ref=B1EB18E12D8C5385CEDE0FCE4E9E7034864DB47C9BE3F77D4BA66161F9TFyCE" TargetMode="External"/><Relationship Id="rId33" Type="http://schemas.openxmlformats.org/officeDocument/2006/relationships/hyperlink" Target="consultantplus://offline/ref=B1EB18E12D8C5385CEDE0FCE4E9E7034864CBA7599E5F77D4BA66161F9FC928C8938785CA4A9CDEAT0y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EB18E12D8C5385CEDE0FCE4E9E7034864CBA7599E5F77D4BA66161F9TFyCE" TargetMode="External"/><Relationship Id="rId20" Type="http://schemas.openxmlformats.org/officeDocument/2006/relationships/hyperlink" Target="consultantplus://offline/ref=B1EB18E12D8C5385CEDE0FCE4E9E7034864DB47C9BE3F77D4BA66161F9TFyCE" TargetMode="External"/><Relationship Id="rId29" Type="http://schemas.openxmlformats.org/officeDocument/2006/relationships/hyperlink" Target="consultantplus://offline/ref=B1EB18E12D8C5385CEDE0FCE4E9E7034864CBA7599E5F77D4BA66161F9FC928C8938785CA4A8CBEBT0y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B18E12D8C5385CEDE0FCE4E9E7034864CBA7599E5F77D4BA66161F9TFyCE" TargetMode="External"/><Relationship Id="rId11" Type="http://schemas.openxmlformats.org/officeDocument/2006/relationships/hyperlink" Target="consultantplus://offline/ref=B1EB18E12D8C5385CEDE0FCE4E9E7034864CBA7599E5F77D4BA66161F9FC928C8938785CA4A9CCE9T0y8E" TargetMode="External"/><Relationship Id="rId24" Type="http://schemas.openxmlformats.org/officeDocument/2006/relationships/hyperlink" Target="consultantplus://offline/ref=B1EB18E12D8C5385CEDE0FCE4E9E70348541BA7091B4A07F1AF36F64F1ACDA9CC77D755DA6ABTCy9E" TargetMode="External"/><Relationship Id="rId32" Type="http://schemas.openxmlformats.org/officeDocument/2006/relationships/hyperlink" Target="consultantplus://offline/ref=B1EB18E12D8C5385CEDE0FCE4E9E7034864CBA7599E5F77D4BA66161F9FC928C8938785CA4A8CBEET0y2E" TargetMode="External"/><Relationship Id="rId5" Type="http://schemas.openxmlformats.org/officeDocument/2006/relationships/hyperlink" Target="consultantplus://offline/ref=B1EB18E12D8C5385CEDE0FCE4E9E7034864CB9769DE6F77D4BA66161F9FC928C8938785CA4A8CEEBT0yCE" TargetMode="External"/><Relationship Id="rId15" Type="http://schemas.openxmlformats.org/officeDocument/2006/relationships/hyperlink" Target="consultantplus://offline/ref=B1EB18E12D8C5385CEDE0FCE4E9E7034864CBA7599E5F77D4BA66161F9FC928C8938785CA4A9CCE6T0yFE" TargetMode="External"/><Relationship Id="rId23" Type="http://schemas.openxmlformats.org/officeDocument/2006/relationships/hyperlink" Target="consultantplus://offline/ref=B1EB18E12D8C5385CEDE0FCE4E9E7034864CBA7692E7F77D4BA66161F9FC928C8938785CA4A8CEEFT0yAE" TargetMode="External"/><Relationship Id="rId28" Type="http://schemas.openxmlformats.org/officeDocument/2006/relationships/hyperlink" Target="consultantplus://offline/ref=B1EB18E12D8C5385CEDE0FCE4E9E7034864CBA7599E5F77D4BA66161F9FC928C8938785CA4A8CBE8T0y8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1EB18E12D8C5385CEDE0FCE4E9E7034864CBA7599E5F77D4BA66161F9FC928C8938785CA4A9CCE8T0yDE" TargetMode="External"/><Relationship Id="rId19" Type="http://schemas.openxmlformats.org/officeDocument/2006/relationships/hyperlink" Target="consultantplus://offline/ref=B1EB18E12D8C5385CEDE0FCE4E9E70348541BA7091B4A07F1AF36F64F1ACDA9CC77D755DA6ABTCy9E" TargetMode="External"/><Relationship Id="rId31" Type="http://schemas.openxmlformats.org/officeDocument/2006/relationships/hyperlink" Target="consultantplus://offline/ref=B1EB18E12D8C5385CEDE0FCE4E9E7034864CBA7599E5F77D4BA66161F9FC928C8938785CA4A9CDEAT0y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EB18E12D8C5385CEDE0FCE4E9E7034864CBA7599E5F77D4BA66161F9FC928C8938785CA4A9C9E6T0yBE" TargetMode="External"/><Relationship Id="rId14" Type="http://schemas.openxmlformats.org/officeDocument/2006/relationships/hyperlink" Target="consultantplus://offline/ref=B1EB18E12D8C5385CEDE0FCE4E9E7034864CBA7599E5F77D4BA66161F9FC928C8938785CA4A9CCE6T0y9E" TargetMode="External"/><Relationship Id="rId22" Type="http://schemas.openxmlformats.org/officeDocument/2006/relationships/hyperlink" Target="consultantplus://offline/ref=B1EB18E12D8C5385CEDE0FCE4E9E7034864DB47C9BE3F77D4BA66161F9TFyCE" TargetMode="External"/><Relationship Id="rId27" Type="http://schemas.openxmlformats.org/officeDocument/2006/relationships/hyperlink" Target="consultantplus://offline/ref=B1EB18E12D8C5385CEDE0FCE4E9E7034864CBA7692E6F77D4BA66161F9TFyCE" TargetMode="External"/><Relationship Id="rId30" Type="http://schemas.openxmlformats.org/officeDocument/2006/relationships/hyperlink" Target="consultantplus://offline/ref=B1EB18E12D8C5385CEDE0FCE4E9E7034864CBA7599E5F77D4BA66161F9FC928C8938785CA4A8CBECT0y3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2014-02-12T04:50:00Z</dcterms:created>
  <dcterms:modified xsi:type="dcterms:W3CDTF">2014-02-12T04:50:00Z</dcterms:modified>
</cp:coreProperties>
</file>