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22" w:rsidRDefault="00CA03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0322" w:rsidRDefault="00CA0322">
      <w:pPr>
        <w:pStyle w:val="ConsPlusNormal"/>
        <w:ind w:firstLine="540"/>
        <w:jc w:val="both"/>
        <w:outlineLvl w:val="0"/>
      </w:pPr>
    </w:p>
    <w:p w:rsidR="00CA0322" w:rsidRDefault="00CA0322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CA0322" w:rsidRDefault="00CA0322">
      <w:pPr>
        <w:pStyle w:val="ConsPlusNormal"/>
        <w:jc w:val="both"/>
      </w:pPr>
    </w:p>
    <w:p w:rsidR="00CA0322" w:rsidRDefault="00CA0322">
      <w:pPr>
        <w:pStyle w:val="ConsPlusTitle"/>
        <w:jc w:val="center"/>
      </w:pPr>
      <w:r>
        <w:t>ФАС УКАЗАЛА НА ПРОБЛЕМЫ ЗАКОНА N 44-ФЗ:</w:t>
      </w:r>
    </w:p>
    <w:p w:rsidR="00CA0322" w:rsidRDefault="00CA0322">
      <w:pPr>
        <w:pStyle w:val="ConsPlusTitle"/>
        <w:jc w:val="center"/>
      </w:pPr>
      <w:r>
        <w:t>РАЗЪЯСНЕНИЯ, СУДЕБНАЯ И АДМИНИСТРАТИВНАЯ ПРАКТИКА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10.12.2019.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r>
        <w:t>ФАС разъяснила отдельные положения Закона N 44-ФЗ и подготовила обзоры судебной и административной практики в госзакупках. Расскажем о ключевых выводах, которые понадобятся заказчикам и членам комиссий при подготовке документации, заключении контрактов, рассмотрении заявок и размещении протоколов.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0"/>
      </w:pPr>
      <w:r>
        <w:t>Что учесть при составлении документации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1"/>
      </w:pPr>
      <w:proofErr w:type="gramStart"/>
      <w:r>
        <w:t>При закупке товара с установленным ПО применяйте запрет на допуск иностранной продукции</w:t>
      </w:r>
      <w:proofErr w:type="gramEnd"/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r>
        <w:t xml:space="preserve">Заказчик </w:t>
      </w:r>
      <w:hyperlink r:id="rId6" w:history="1">
        <w:r>
          <w:rPr>
            <w:color w:val="0000FF"/>
          </w:rPr>
          <w:t>объявил закупку</w:t>
        </w:r>
      </w:hyperlink>
      <w:r>
        <w:t xml:space="preserve"> товара </w:t>
      </w:r>
      <w:proofErr w:type="gramStart"/>
      <w:r>
        <w:t>с</w:t>
      </w:r>
      <w:proofErr w:type="gramEnd"/>
      <w:r>
        <w:t xml:space="preserve"> установленным ПО. В первых частях заявок участникам нужно было указать наименование софта. Контрольный орган и суды решили, что в этом случае необходимо применять запрет на поставку иностранной продукции. Заказчик не включил в документацию информацию о запрете и </w:t>
      </w:r>
      <w:hyperlink r:id="rId7" w:history="1">
        <w:r>
          <w:rPr>
            <w:color w:val="0000FF"/>
          </w:rPr>
          <w:t>не разместил</w:t>
        </w:r>
      </w:hyperlink>
      <w:r>
        <w:t xml:space="preserve"> в ЕИС обоснование, почему его невозможно соблюсти. Это </w:t>
      </w:r>
      <w:hyperlink r:id="rId8" w:history="1">
        <w:r>
          <w:rPr>
            <w:color w:val="0000FF"/>
          </w:rPr>
          <w:t>признали нарушением</w:t>
        </w:r>
      </w:hyperlink>
      <w:r>
        <w:t xml:space="preserve"> норм Закона N 44-ФЗ о нацрежиме.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1"/>
      </w:pPr>
      <w:r>
        <w:t>Положения документации не должны вводить участников в заблуждение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r>
        <w:t xml:space="preserve">В документации не должно быть противоречий, иначе контрольный орган может решить, что она не позволяет участнику корректно составить заявку. Например, требования к товарам, работам или услугам не могут расходиться с ГОСТами, которым объект закупки должен соответствовать по документации. ФАС и суды </w:t>
      </w:r>
      <w:hyperlink r:id="rId9" w:history="1">
        <w:r>
          <w:rPr>
            <w:color w:val="0000FF"/>
          </w:rPr>
          <w:t>сочли это нарушением</w:t>
        </w:r>
      </w:hyperlink>
      <w:r>
        <w:t>.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t xml:space="preserve">Контролеры признавали незаконными также противоречивое </w:t>
      </w:r>
      <w:hyperlink r:id="rId10" w:history="1">
        <w:r>
          <w:rPr>
            <w:color w:val="0000FF"/>
          </w:rPr>
          <w:t>содержание инструкции</w:t>
        </w:r>
      </w:hyperlink>
      <w:r>
        <w:t xml:space="preserve"> и требования к работам, оформленные </w:t>
      </w:r>
      <w:hyperlink r:id="rId11" w:history="1">
        <w:r>
          <w:rPr>
            <w:color w:val="0000FF"/>
          </w:rPr>
          <w:t>ненадлежащим образом</w:t>
        </w:r>
      </w:hyperlink>
      <w:r>
        <w:t xml:space="preserve"> (сплошным текстом, без нумерации). В этих случаях было непонятно, как участники должны заполнять заявку.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1"/>
      </w:pPr>
      <w:r>
        <w:t>Не требуйте от участников регистрации в ЕИС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r>
        <w:t xml:space="preserve">Контрольный орган </w:t>
      </w:r>
      <w:hyperlink r:id="rId12" w:history="1">
        <w:r>
          <w:rPr>
            <w:color w:val="0000FF"/>
          </w:rPr>
          <w:t>накажет</w:t>
        </w:r>
      </w:hyperlink>
      <w:r>
        <w:t xml:space="preserve"> заказчика, если он установит в документации требование о регистрации участников в ЕИС. </w:t>
      </w:r>
      <w:hyperlink r:id="rId13" w:history="1">
        <w:r>
          <w:rPr>
            <w:color w:val="0000FF"/>
          </w:rPr>
          <w:t>До конца 2019 года</w:t>
        </w:r>
      </w:hyperlink>
      <w:r>
        <w:t xml:space="preserve"> она обязательна не для всех.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t xml:space="preserve">Отметим, что и в 2020 году изменять документацию в связи с регистрацией в ЕИС не нужно. Ее наличие и актуальность </w:t>
      </w:r>
      <w:hyperlink r:id="rId14" w:history="1">
        <w:r>
          <w:rPr>
            <w:color w:val="0000FF"/>
          </w:rPr>
          <w:t>отслеживает</w:t>
        </w:r>
      </w:hyperlink>
      <w:r>
        <w:t xml:space="preserve"> оператор электронной площадки.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0"/>
      </w:pPr>
      <w:r>
        <w:t>Что учесть при рассмотрении заявок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1"/>
      </w:pPr>
      <w:r>
        <w:t>Выписка из реестра членов СРО должна быть действительной на дату подачи заявки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r>
        <w:t xml:space="preserve">Срок действия выписки из реестра членов СРО - </w:t>
      </w:r>
      <w:hyperlink r:id="rId15" w:history="1">
        <w:r>
          <w:rPr>
            <w:color w:val="0000FF"/>
          </w:rPr>
          <w:t>один месяц</w:t>
        </w:r>
      </w:hyperlink>
      <w:r>
        <w:t xml:space="preserve"> </w:t>
      </w:r>
      <w:proofErr w:type="gramStart"/>
      <w:r>
        <w:t>с даты выдачи</w:t>
      </w:r>
      <w:proofErr w:type="gramEnd"/>
      <w:r>
        <w:t xml:space="preserve">. ФАС </w:t>
      </w:r>
      <w:hyperlink r:id="rId16" w:history="1">
        <w:r>
          <w:rPr>
            <w:color w:val="0000FF"/>
          </w:rPr>
          <w:t>напомнила</w:t>
        </w:r>
      </w:hyperlink>
      <w:r>
        <w:t>: выписка должна быть действительна на дату подачи заявки участником закупки. Таким правилом необходимо руководствоваться комиссии при рассмотрении заявки.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lastRenderedPageBreak/>
        <w:t xml:space="preserve">При составлении документации внимательно формулируйте это правило. ФАС </w:t>
      </w:r>
      <w:hyperlink r:id="rId17" w:history="1">
        <w:r>
          <w:rPr>
            <w:color w:val="0000FF"/>
          </w:rPr>
          <w:t>признает нарушением</w:t>
        </w:r>
      </w:hyperlink>
      <w:r>
        <w:t xml:space="preserve">, если будет указано: "Выписка из реестра членов СРО должна быть выдана не ранее чем за один месяц до даты окончания срока подачи заявок на участие в аукционе". Контролеры могут допустить формулировку "Выписка из реестра членов СРО должна быть выдана не ранее чем за один месяц до даты подачи заявки". Требование к сроку действия выписки можно изложить также в соответствии с </w:t>
      </w:r>
      <w:hyperlink r:id="rId18" w:history="1">
        <w:r>
          <w:rPr>
            <w:color w:val="0000FF"/>
          </w:rPr>
          <w:t>ГрК</w:t>
        </w:r>
      </w:hyperlink>
      <w:r>
        <w:t xml:space="preserve"> РФ: "Срок действия выписки из реестра членов СРО составляет один месяц </w:t>
      </w:r>
      <w:proofErr w:type="gramStart"/>
      <w:r>
        <w:t>с даты</w:t>
      </w:r>
      <w:proofErr w:type="gramEnd"/>
      <w:r>
        <w:t xml:space="preserve"> ее выдачи".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1"/>
      </w:pPr>
      <w:r>
        <w:t xml:space="preserve">Вместе с протоколом рассмотрения и оценки первых частей заявок </w:t>
      </w:r>
      <w:proofErr w:type="gramStart"/>
      <w:r>
        <w:t>разместите предложения</w:t>
      </w:r>
      <w:proofErr w:type="gramEnd"/>
      <w:r>
        <w:t xml:space="preserve"> участников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r>
        <w:t xml:space="preserve">Если в конкурсной документации есть критерий "качественные, функциональные и экологические характеристики объекта закупки" и участник представил предложения по нему, к протоколу рассмотрения и оценки первых частей заявок </w:t>
      </w:r>
      <w:hyperlink r:id="rId19" w:history="1">
        <w:r>
          <w:rPr>
            <w:color w:val="0000FF"/>
          </w:rPr>
          <w:t>нужно приложить</w:t>
        </w:r>
      </w:hyperlink>
      <w:r>
        <w:t xml:space="preserve"> эти предложения. Если разместить в ЕИС протокол без приложений, то сотрудника, ответственного за размещение протокола, </w:t>
      </w:r>
      <w:hyperlink r:id="rId20" w:history="1">
        <w:r>
          <w:rPr>
            <w:color w:val="0000FF"/>
          </w:rPr>
          <w:t>оштрафуют</w:t>
        </w:r>
      </w:hyperlink>
      <w:r>
        <w:t>.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0"/>
      </w:pPr>
      <w:r>
        <w:t>Что учесть при заключении контракта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1"/>
      </w:pPr>
      <w:r>
        <w:t>Если гарантийные обязательства на товары (работы, услуги) и их составные части различны, сроки устанавливайте отдельно для каждой единицы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proofErr w:type="gramStart"/>
      <w:r>
        <w:t xml:space="preserve">ФАС </w:t>
      </w:r>
      <w:hyperlink r:id="rId21" w:history="1">
        <w:r>
          <w:rPr>
            <w:color w:val="0000FF"/>
          </w:rPr>
          <w:t>пояснила</w:t>
        </w:r>
      </w:hyperlink>
      <w:r>
        <w:t>: если закупаются товары, работы или услуги и их составные (комплектующие) части с различными гарантийными сроками, в контракте отдельно по основному товару и отдельно по комплектующим устанавливают сроки обеспечения гарантийных обязательств, а также сроки возврата денег, внесенных в качестве их обеспечения.</w:t>
      </w:r>
      <w:proofErr w:type="gramEnd"/>
    </w:p>
    <w:p w:rsidR="00CA0322" w:rsidRDefault="00CA0322">
      <w:pPr>
        <w:pStyle w:val="ConsPlusNormal"/>
        <w:spacing w:before="220"/>
        <w:ind w:firstLine="540"/>
        <w:jc w:val="both"/>
      </w:pPr>
      <w:r>
        <w:t>При этом нужно применять правила Закона N 44-ФЗ для обеспечения исполнения контракта, а именно: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t xml:space="preserve">- установить, что срок действия банковской гарантии, предоставленной в обеспечение гарантийных обязательств, </w:t>
      </w:r>
      <w:hyperlink r:id="rId22" w:history="1">
        <w:r>
          <w:rPr>
            <w:color w:val="0000FF"/>
          </w:rPr>
          <w:t>превышает</w:t>
        </w:r>
      </w:hyperlink>
      <w:r>
        <w:t xml:space="preserve"> срок обязательств минимум на месяц;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указать</w:t>
        </w:r>
      </w:hyperlink>
      <w:r>
        <w:t xml:space="preserve"> срок возврата денег, внесенных в обеспечение гарантийных обязательств, - не позднее 30 дней </w:t>
      </w:r>
      <w:proofErr w:type="gramStart"/>
      <w:r>
        <w:t>с даты исполнения</w:t>
      </w:r>
      <w:proofErr w:type="gramEnd"/>
      <w:r>
        <w:t xml:space="preserve"> таких обязательств, а при закупках, проводимых только для СМП и СОНКО, - не позднее 15 дней с даты их исполнения.</w:t>
      </w:r>
    </w:p>
    <w:p w:rsidR="00CA0322" w:rsidRDefault="00CA0322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Минфин</w:t>
        </w:r>
      </w:hyperlink>
      <w:r>
        <w:t xml:space="preserve"> придерживается аналогичной позиции.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Title"/>
        <w:ind w:firstLine="540"/>
        <w:jc w:val="both"/>
        <w:outlineLvl w:val="1"/>
      </w:pPr>
      <w:r>
        <w:t>Согласовывайте возможность заключить контракт с единственным поставщиком, если после электронного запроса предложений не с кем заключать контракт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r>
        <w:t xml:space="preserve">ФАС </w:t>
      </w:r>
      <w:hyperlink r:id="rId25" w:history="1">
        <w:r>
          <w:rPr>
            <w:color w:val="0000FF"/>
          </w:rPr>
          <w:t>уточнила</w:t>
        </w:r>
      </w:hyperlink>
      <w:r>
        <w:t>: с контрольным органом нужно согласовывать заключение контракта с единственным поставщиком по результатам запроса предложений в электронной форме, если: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t>- никто не подал заявку на участие;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t>- комиссия отклонила все заявки;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t>- победитель признан уклонившимся от заключения контракта, а второй участник отказался заключать контракт или уклонился от этого.</w:t>
      </w:r>
    </w:p>
    <w:p w:rsidR="00CA0322" w:rsidRDefault="00CA0322">
      <w:pPr>
        <w:pStyle w:val="ConsPlusNormal"/>
        <w:spacing w:before="220"/>
        <w:ind w:firstLine="540"/>
        <w:jc w:val="both"/>
      </w:pPr>
      <w:r>
        <w:t xml:space="preserve">Напомним, первое чтение прошел законопроект, который предусматривает другие правила согласования. В частности, направлять документы на согласование </w:t>
      </w:r>
      <w:hyperlink r:id="rId26" w:history="1">
        <w:r>
          <w:rPr>
            <w:color w:val="0000FF"/>
          </w:rPr>
          <w:t>понадобится</w:t>
        </w:r>
      </w:hyperlink>
      <w:r>
        <w:t xml:space="preserve"> и после запросов предложений в электронной форме, по которым была подана или осталась одна заявка. Сейчас </w:t>
      </w:r>
      <w:r>
        <w:lastRenderedPageBreak/>
        <w:t xml:space="preserve">этого делать </w:t>
      </w:r>
      <w:hyperlink r:id="rId27" w:history="1">
        <w:r>
          <w:rPr>
            <w:color w:val="0000FF"/>
          </w:rPr>
          <w:t>не нужно</w:t>
        </w:r>
      </w:hyperlink>
      <w:r>
        <w:t>.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28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разъяснений законодательства о размещении заказов для государственных и муниципальных нужд (ноябрь 2019 года)</w:t>
      </w:r>
    </w:p>
    <w:p w:rsidR="00CA0322" w:rsidRDefault="00CA0322">
      <w:pPr>
        <w:pStyle w:val="ConsPlusNormal"/>
        <w:spacing w:before="220"/>
        <w:ind w:firstLine="540"/>
        <w:jc w:val="both"/>
      </w:pPr>
      <w:hyperlink r:id="rId29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судебной практики в сфере размещения заказов для государственных и муниципальных нужд (ноябрь 2019 года)</w:t>
      </w:r>
    </w:p>
    <w:p w:rsidR="00CA0322" w:rsidRDefault="00CA0322">
      <w:pPr>
        <w:pStyle w:val="ConsPlusNormal"/>
        <w:spacing w:before="220"/>
        <w:ind w:firstLine="540"/>
        <w:jc w:val="both"/>
      </w:pPr>
      <w:hyperlink r:id="rId30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административной практики в сфере размещения заказов для государственных и муниципальных нужд (ноябрь 2019 года)</w:t>
      </w: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ind w:firstLine="540"/>
        <w:jc w:val="both"/>
      </w:pPr>
    </w:p>
    <w:p w:rsidR="00CA0322" w:rsidRDefault="00CA03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6BC" w:rsidRDefault="00DB56BC">
      <w:bookmarkStart w:id="0" w:name="_GoBack"/>
      <w:bookmarkEnd w:id="0"/>
    </w:p>
    <w:sectPr w:rsidR="00DB56BC" w:rsidSect="0074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22"/>
    <w:rsid w:val="00CA0322"/>
    <w:rsid w:val="00D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B888CA14F089EC09F50524EC2745CE8FB47871DA7D36DA2BC1FB87F91F9652724CBDDE31070FBA678CBDA6B5BAD25DA6CBB8187C664FBa4a0M" TargetMode="External"/><Relationship Id="rId13" Type="http://schemas.openxmlformats.org/officeDocument/2006/relationships/hyperlink" Target="consultantplus://offline/ref=70FB888CA14F089EC09F5F5950C2745CEAFB46811DABD36DA2BC1FB87F91F9652724CBDDE31573F5F222DBDE220CA039DA76A58799C6a6a4M" TargetMode="External"/><Relationship Id="rId18" Type="http://schemas.openxmlformats.org/officeDocument/2006/relationships/hyperlink" Target="consultantplus://offline/ref=70FB888CA14F089EC09F5F5950C2745CEAFA42831CA0D36DA2BC1FB87F91F9652724CBDDE31179F6AF78CBDA6B5BAD25DA6CBB8187C664FBa4a0M" TargetMode="External"/><Relationship Id="rId26" Type="http://schemas.openxmlformats.org/officeDocument/2006/relationships/hyperlink" Target="consultantplus://offline/ref=70FB888CA14F089EC09F5F5950C2745CEAFA478011A2D36DA2BC1FB87F91F9652724CBDDE31070FCA578CBDA6B5BAD25DA6CBB8187C664FBa4a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FB888CA14F089EC09F50524EC2745CE8FB47871DABD36DA2BC1FB87F91F9652724CBDDE31070FCA678CBDA6B5BAD25DA6CBB8187C664FBa4a0M" TargetMode="External"/><Relationship Id="rId7" Type="http://schemas.openxmlformats.org/officeDocument/2006/relationships/hyperlink" Target="consultantplus://offline/ref=70FB888CA14F089EC09F50524EC2745CE8FB47871DA7D36DA2BC1FB87F91F9652724CBDDE31070FAAF78CBDA6B5BAD25DA6CBB8187C664FBa4a0M" TargetMode="External"/><Relationship Id="rId12" Type="http://schemas.openxmlformats.org/officeDocument/2006/relationships/hyperlink" Target="consultantplus://offline/ref=70FB888CA14F089EC09F50524EC2745CE8FB47871DA6D36DA2BC1FB87F91F9652724CBDDE31070F8A078CBDA6B5BAD25DA6CBB8187C664FBa4a0M" TargetMode="External"/><Relationship Id="rId17" Type="http://schemas.openxmlformats.org/officeDocument/2006/relationships/hyperlink" Target="consultantplus://offline/ref=70FB888CA14F089EC09F435954C2745CECFC418B1DABD36DA2BC1FB87F91F9652724CBDDE31070FBA778CBDA6B5BAD25DA6CBB8187C664FBa4a0M" TargetMode="External"/><Relationship Id="rId25" Type="http://schemas.openxmlformats.org/officeDocument/2006/relationships/hyperlink" Target="consultantplus://offline/ref=70FB888CA14F089EC09F50524EC2745CE8FB47871DABD36DA2BC1FB87F91F9652724CBDDE31070FCA178CBDA6B5BAD25DA6CBB8187C664FBa4a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FB888CA14F089EC09F50524EC2745CE8FB47871DABD36DA2BC1FB87F91F9652724CBDDE31070FFA678CBDA6B5BAD25DA6CBB8187C664FBa4a0M" TargetMode="External"/><Relationship Id="rId20" Type="http://schemas.openxmlformats.org/officeDocument/2006/relationships/hyperlink" Target="consultantplus://offline/ref=70FB888CA14F089EC09F50524EC2745CE8FB47871DA6D36DA2BC1FB87F91F9652724CBDDE31070FBA478CBDA6B5BAD25DA6CBB8187C664FBa4a0M" TargetMode="External"/><Relationship Id="rId29" Type="http://schemas.openxmlformats.org/officeDocument/2006/relationships/hyperlink" Target="consultantplus://offline/ref=70FB888CA14F089EC09F50524EC2745CE8FB47871DA7D36DA2BC1FB87F91F9652724CBDDE31070FEA778CBDA6B5BAD25DA6CBB8187C664FBa4a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B888CA14F089EC09F50524EC2745CE8FB47871DA7D36DA2BC1FB87F91F9652724CBDDE31070FAAE78CBDA6B5BAD25DA6CBB8187C664FBa4a0M" TargetMode="External"/><Relationship Id="rId11" Type="http://schemas.openxmlformats.org/officeDocument/2006/relationships/hyperlink" Target="consultantplus://offline/ref=70FB888CA14F089EC09F50524EC2745CE8FB47871DA7D36DA2BC1FB87F91F9652724CBDDE31070FFA778CBDA6B5BAD25DA6CBB8187C664FBa4a0M" TargetMode="External"/><Relationship Id="rId24" Type="http://schemas.openxmlformats.org/officeDocument/2006/relationships/hyperlink" Target="consultantplus://offline/ref=70FB888CA14F089EC09F424D42AA4E5AB7F4438A10A2DC32F5BE4EED7194F1356F348598EE1170FEA6719F807B5FE472D770BB9B99C07AFB4002aAaA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FB888CA14F089EC09F5F5950C2745CEAFA42831CA0D36DA2BC1FB87F91F9652724CBDDE31179F6AF78CBDA6B5BAD25DA6CBB8187C664FBa4a0M" TargetMode="External"/><Relationship Id="rId23" Type="http://schemas.openxmlformats.org/officeDocument/2006/relationships/hyperlink" Target="consultantplus://offline/ref=70FB888CA14F089EC09F50524EC2745CE8FB47871DABD36DA2BC1FB87F91F9652724CBDDE31070FFAF78CBDA6B5BAD25DA6CBB8187C664FBa4a0M" TargetMode="External"/><Relationship Id="rId28" Type="http://schemas.openxmlformats.org/officeDocument/2006/relationships/hyperlink" Target="consultantplus://offline/ref=70FB888CA14F089EC09F50524EC2745CE8FB47871DABD36DA2BC1FB87F91F9652724CBDDE31070FEA778CBDA6B5BAD25DA6CBB8187C664FBa4a0M" TargetMode="External"/><Relationship Id="rId10" Type="http://schemas.openxmlformats.org/officeDocument/2006/relationships/hyperlink" Target="consultantplus://offline/ref=70FB888CA14F089EC09F50524EC2745CE8FB47871DA6D36DA2BC1FB87F91F9652724CBDDE31070FFA678CBDA6B5BAD25DA6CBB8187C664FBa4a0M" TargetMode="External"/><Relationship Id="rId19" Type="http://schemas.openxmlformats.org/officeDocument/2006/relationships/hyperlink" Target="consultantplus://offline/ref=70FB888CA14F089EC09F50524EC2745CE8FB47871DA6D36DA2BC1FB87F91F9652724CBDDE31070FBA678CBDA6B5BAD25DA6CBB8187C664FBa4a0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FB888CA14F089EC09F50524EC2745CE8FB47871DA7D36DA2BC1FB87F91F9652724CBDDE31070F9AF78CBDA6B5BAD25DA6CBB8187C664FBa4a0M" TargetMode="External"/><Relationship Id="rId14" Type="http://schemas.openxmlformats.org/officeDocument/2006/relationships/hyperlink" Target="consultantplus://offline/ref=70FB888CA14F089EC09F5F5950C2745CEAFB46811DABD36DA2BC1FB87F91F9652724CBDBE6167BAAF737CA862D0EBE27DE6CB9859BaCa4M" TargetMode="External"/><Relationship Id="rId22" Type="http://schemas.openxmlformats.org/officeDocument/2006/relationships/hyperlink" Target="consultantplus://offline/ref=70FB888CA14F089EC09F50524EC2745CE8FB47871DABD36DA2BC1FB87F91F9652724CBDDE31070FFAE78CBDA6B5BAD25DA6CBB8187C664FBa4a0M" TargetMode="External"/><Relationship Id="rId27" Type="http://schemas.openxmlformats.org/officeDocument/2006/relationships/hyperlink" Target="consultantplus://offline/ref=70FB888CA14F089EC09F5F5950C2745CEAFB46811DABD36DA2BC1FB87F91F9652724CBDDE01174F5F222DBDE220CA039DA76A58799C6a6a4M" TargetMode="External"/><Relationship Id="rId30" Type="http://schemas.openxmlformats.org/officeDocument/2006/relationships/hyperlink" Target="consultantplus://offline/ref=70FB888CA14F089EC09F50524EC2745CE8FB47871DA6D36DA2BC1FB87F91F9652724CBDDE31070FEA778CBDA6B5BAD25DA6CBB8187C664FBa4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2020-04-20T12:26:00Z</dcterms:created>
  <dcterms:modified xsi:type="dcterms:W3CDTF">2020-04-20T12:26:00Z</dcterms:modified>
</cp:coreProperties>
</file>