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0D" w:rsidRDefault="00050D0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50D0D" w:rsidRDefault="00050D0D">
      <w:pPr>
        <w:pStyle w:val="ConsPlusNormal"/>
        <w:ind w:firstLine="540"/>
        <w:jc w:val="both"/>
        <w:outlineLvl w:val="0"/>
      </w:pPr>
    </w:p>
    <w:p w:rsidR="00050D0D" w:rsidRDefault="00050D0D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050D0D" w:rsidRDefault="00050D0D">
      <w:pPr>
        <w:pStyle w:val="ConsPlusNormal"/>
        <w:jc w:val="both"/>
      </w:pPr>
    </w:p>
    <w:p w:rsidR="00050D0D" w:rsidRDefault="00050D0D">
      <w:pPr>
        <w:pStyle w:val="ConsPlusTitle"/>
        <w:jc w:val="center"/>
      </w:pPr>
      <w:r>
        <w:t>МИНСТРОЙ УСТАНОВИЛ, КАК РАССЧИТАТЬ НМЦК И СОСТАВИТЬ СМЕТУ</w:t>
      </w:r>
    </w:p>
    <w:p w:rsidR="00050D0D" w:rsidRDefault="00050D0D">
      <w:pPr>
        <w:pStyle w:val="ConsPlusTitle"/>
        <w:jc w:val="center"/>
      </w:pPr>
      <w:r>
        <w:t>НА СТРОИТЕЛЬСТВО ОБЪЕКТА "ПОД КЛЮЧ"</w:t>
      </w:r>
    </w:p>
    <w:p w:rsidR="00050D0D" w:rsidRDefault="00050D0D">
      <w:pPr>
        <w:pStyle w:val="ConsPlusNormal"/>
        <w:ind w:firstLine="540"/>
        <w:jc w:val="both"/>
      </w:pPr>
    </w:p>
    <w:p w:rsidR="00050D0D" w:rsidRDefault="00050D0D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22.04.2020.</w:t>
      </w:r>
    </w:p>
    <w:p w:rsidR="00050D0D" w:rsidRDefault="00050D0D">
      <w:pPr>
        <w:pStyle w:val="ConsPlusNormal"/>
        <w:ind w:firstLine="540"/>
        <w:jc w:val="both"/>
      </w:pPr>
    </w:p>
    <w:p w:rsidR="00050D0D" w:rsidRDefault="00050D0D">
      <w:pPr>
        <w:pStyle w:val="ConsPlusNormal"/>
        <w:ind w:firstLine="540"/>
        <w:jc w:val="both"/>
      </w:pPr>
      <w:r>
        <w:t xml:space="preserve">С 1 мая будет действовать порядок определения НМЦК, а также методика составления смет </w:t>
      </w:r>
      <w:hyperlink r:id="rId6" w:history="1">
        <w:r>
          <w:rPr>
            <w:color w:val="0000FF"/>
          </w:rPr>
          <w:t>контракта</w:t>
        </w:r>
      </w:hyperlink>
      <w:r>
        <w:t xml:space="preserve"> на закупку строительства объекта "под ключ". В каких случаях применять эти документы, как оформить расчет НМЦК, когда придется уточнять смету, - об этих и других важных аспектах расскажем в обзоре.</w:t>
      </w:r>
    </w:p>
    <w:p w:rsidR="00050D0D" w:rsidRDefault="00050D0D">
      <w:pPr>
        <w:pStyle w:val="ConsPlusNormal"/>
        <w:ind w:firstLine="540"/>
        <w:jc w:val="both"/>
      </w:pPr>
    </w:p>
    <w:p w:rsidR="00050D0D" w:rsidRDefault="00050D0D">
      <w:pPr>
        <w:pStyle w:val="ConsPlusTitle"/>
        <w:ind w:firstLine="540"/>
        <w:jc w:val="both"/>
        <w:outlineLvl w:val="0"/>
      </w:pPr>
      <w:r>
        <w:t>Порядок определения НМЦК</w:t>
      </w:r>
    </w:p>
    <w:p w:rsidR="00050D0D" w:rsidRDefault="00050D0D">
      <w:pPr>
        <w:pStyle w:val="ConsPlusNormal"/>
        <w:ind w:firstLine="540"/>
        <w:jc w:val="both"/>
      </w:pPr>
    </w:p>
    <w:p w:rsidR="00050D0D" w:rsidRDefault="00050D0D">
      <w:pPr>
        <w:pStyle w:val="ConsPlusTitle"/>
        <w:ind w:firstLine="540"/>
        <w:jc w:val="both"/>
        <w:outlineLvl w:val="1"/>
      </w:pPr>
      <w:r>
        <w:t>В каких случаях применять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t xml:space="preserve">Порядок </w:t>
      </w:r>
      <w:hyperlink r:id="rId7" w:history="1">
        <w:r>
          <w:rPr>
            <w:color w:val="0000FF"/>
          </w:rPr>
          <w:t>будут использовать</w:t>
        </w:r>
      </w:hyperlink>
      <w:r>
        <w:t xml:space="preserve"> при определении НМЦК и цены контракта с едпоставщиком, если его предметом </w:t>
      </w:r>
      <w:r>
        <w:rPr>
          <w:b/>
        </w:rPr>
        <w:t>одновременно</w:t>
      </w:r>
      <w:r>
        <w:t xml:space="preserve"> являются работы </w:t>
      </w:r>
      <w:proofErr w:type="gramStart"/>
      <w:r>
        <w:t>по</w:t>
      </w:r>
      <w:proofErr w:type="gramEnd"/>
      <w:r>
        <w:t>: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t>- подготовке проектной документации и (или) выполнению инженерных изысканий;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t>- строительству;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t>- реконструкции и (или) капремонту объекта капстроительства.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t>Также в таком контракте можно будет предусмотреть обязательство по поставке оборудования.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t>Объект, в отношении которого будут выполняться работы, должен быть включен в перечни объектов капстроительства, утвержденных правительством, высшим исполнительным органом субъекта РФ, местными администрациями.</w:t>
      </w:r>
    </w:p>
    <w:p w:rsidR="00050D0D" w:rsidRDefault="00050D0D">
      <w:pPr>
        <w:pStyle w:val="ConsPlusNormal"/>
        <w:ind w:firstLine="540"/>
        <w:jc w:val="both"/>
      </w:pPr>
    </w:p>
    <w:p w:rsidR="00050D0D" w:rsidRDefault="00050D0D">
      <w:pPr>
        <w:pStyle w:val="ConsPlusTitle"/>
        <w:ind w:firstLine="540"/>
        <w:jc w:val="both"/>
        <w:outlineLvl w:val="1"/>
      </w:pPr>
      <w:r>
        <w:t>Кто будет использовать порядок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t>Им будут руководствоваться: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t>- государственные и муниципальные заказчики;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t>- бюджетные учреждения;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t>- государственные, муниципальные унитарные предприятия.</w:t>
      </w:r>
    </w:p>
    <w:p w:rsidR="00050D0D" w:rsidRDefault="00050D0D">
      <w:pPr>
        <w:pStyle w:val="ConsPlusNormal"/>
        <w:ind w:firstLine="540"/>
        <w:jc w:val="both"/>
      </w:pPr>
    </w:p>
    <w:p w:rsidR="00050D0D" w:rsidRDefault="00050D0D">
      <w:pPr>
        <w:pStyle w:val="ConsPlusTitle"/>
        <w:ind w:firstLine="540"/>
        <w:jc w:val="both"/>
        <w:outlineLvl w:val="1"/>
      </w:pPr>
      <w:r>
        <w:t>Как определить затраты на строительство</w:t>
      </w:r>
    </w:p>
    <w:p w:rsidR="00050D0D" w:rsidRDefault="00050D0D">
      <w:pPr>
        <w:pStyle w:val="ConsPlusNormal"/>
        <w:spacing w:before="220"/>
        <w:ind w:firstLine="540"/>
        <w:jc w:val="both"/>
      </w:pPr>
      <w:proofErr w:type="gramStart"/>
      <w:r>
        <w:t xml:space="preserve">Затраты </w:t>
      </w:r>
      <w:r>
        <w:rPr>
          <w:b/>
        </w:rPr>
        <w:t>на выполнение подрядных работ</w:t>
      </w:r>
      <w:r>
        <w:t xml:space="preserve"> </w:t>
      </w:r>
      <w:hyperlink r:id="rId8" w:history="1">
        <w:r>
          <w:rPr>
            <w:color w:val="0000FF"/>
          </w:rPr>
          <w:t>будут определяться</w:t>
        </w:r>
      </w:hyperlink>
      <w:r>
        <w:t xml:space="preserve"> на основании расчетов, для которых используются укрупненные нормативы цен строительства из Отдела 2 соответствующего сборника (например, </w:t>
      </w:r>
      <w:hyperlink r:id="rId9" w:history="1">
        <w:r>
          <w:rPr>
            <w:color w:val="0000FF"/>
          </w:rPr>
          <w:t>Отдел 2</w:t>
        </w:r>
      </w:hyperlink>
      <w:r>
        <w:t xml:space="preserve"> НЦС 81-02-03-2020.</w:t>
      </w:r>
      <w:proofErr w:type="gramEnd"/>
      <w:r>
        <w:t xml:space="preserve"> Укрупненные нормативы цены строительства. Сборник N 03. </w:t>
      </w:r>
      <w:proofErr w:type="gramStart"/>
      <w:r>
        <w:t>Объекты образования).</w:t>
      </w:r>
      <w:proofErr w:type="gramEnd"/>
      <w:r>
        <w:t xml:space="preserve"> Там можно найти, в частности, информацию о стоимости возведения фундаментов, а также иные данные для расчета. Если нужных сведений там нет, то используются стоимостные показатели </w:t>
      </w:r>
      <w:hyperlink r:id="rId10" w:history="1">
        <w:r>
          <w:rPr>
            <w:color w:val="0000FF"/>
          </w:rPr>
          <w:t>объектов-аналогов</w:t>
        </w:r>
      </w:hyperlink>
      <w:r>
        <w:t xml:space="preserve">, </w:t>
      </w:r>
      <w:hyperlink r:id="rId11" w:history="1">
        <w:r>
          <w:rPr>
            <w:color w:val="0000FF"/>
          </w:rPr>
          <w:t>конструктивных решений-аналогов</w:t>
        </w:r>
      </w:hyperlink>
      <w:r>
        <w:t xml:space="preserve"> либо </w:t>
      </w:r>
      <w:hyperlink r:id="rId12" w:history="1">
        <w:r>
          <w:rPr>
            <w:color w:val="0000FF"/>
          </w:rPr>
          <w:t>расчеты</w:t>
        </w:r>
      </w:hyperlink>
      <w:r>
        <w:t>, сведения о которых включены в федеральный реестр сметных нормативов.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lastRenderedPageBreak/>
        <w:t xml:space="preserve">Следует отметить, что в стоимость </w:t>
      </w:r>
      <w:hyperlink r:id="rId13" w:history="1">
        <w:r>
          <w:rPr>
            <w:color w:val="0000FF"/>
          </w:rPr>
          <w:t>не включаются</w:t>
        </w:r>
      </w:hyperlink>
      <w:r>
        <w:t xml:space="preserve"> затраты на выполнение строительного контроля заказчика.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t xml:space="preserve">Затраты </w:t>
      </w:r>
      <w:r>
        <w:rPr>
          <w:b/>
        </w:rPr>
        <w:t>на поставку оборудования</w:t>
      </w:r>
      <w:r>
        <w:t xml:space="preserve"> </w:t>
      </w:r>
      <w:hyperlink r:id="rId14" w:history="1">
        <w:r>
          <w:rPr>
            <w:color w:val="0000FF"/>
          </w:rPr>
          <w:t>будут рассчитываться</w:t>
        </w:r>
      </w:hyperlink>
      <w:r>
        <w:t xml:space="preserve"> в уровне цен периода исполнения контракта. Этот период нужно определять по </w:t>
      </w:r>
      <w:hyperlink r:id="rId15" w:history="1">
        <w:r>
          <w:rPr>
            <w:color w:val="0000FF"/>
          </w:rPr>
          <w:t>п. п. 19</w:t>
        </w:r>
      </w:hyperlink>
      <w:r>
        <w:t xml:space="preserve"> - </w:t>
      </w:r>
      <w:hyperlink r:id="rId16" w:history="1">
        <w:r>
          <w:rPr>
            <w:color w:val="0000FF"/>
          </w:rPr>
          <w:t>21</w:t>
        </w:r>
      </w:hyperlink>
      <w:r>
        <w:t xml:space="preserve"> порядка.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t xml:space="preserve">Стоимость оборудования </w:t>
      </w:r>
      <w:hyperlink r:id="rId17" w:history="1">
        <w:r>
          <w:rPr>
            <w:color w:val="0000FF"/>
          </w:rPr>
          <w:t>определяется</w:t>
        </w:r>
      </w:hyperlink>
      <w:r>
        <w:t xml:space="preserve"> методом анализа рынка на основании информации о ценах на идентичное или аналогичное оборудование (при отсутствии идентичного).</w:t>
      </w:r>
    </w:p>
    <w:p w:rsidR="00050D0D" w:rsidRDefault="00050D0D">
      <w:pPr>
        <w:pStyle w:val="ConsPlusNormal"/>
        <w:ind w:firstLine="540"/>
        <w:jc w:val="both"/>
      </w:pPr>
    </w:p>
    <w:p w:rsidR="00050D0D" w:rsidRDefault="00050D0D">
      <w:pPr>
        <w:pStyle w:val="ConsPlusTitle"/>
        <w:ind w:firstLine="540"/>
        <w:jc w:val="both"/>
        <w:outlineLvl w:val="1"/>
      </w:pPr>
      <w:r>
        <w:t>Как оформить расчет НМЦК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t xml:space="preserve">Результат расчета </w:t>
      </w:r>
      <w:hyperlink r:id="rId18" w:history="1">
        <w:r>
          <w:rPr>
            <w:color w:val="0000FF"/>
          </w:rPr>
          <w:t>оформляется</w:t>
        </w:r>
      </w:hyperlink>
      <w:r>
        <w:t xml:space="preserve"> в виде протокола. В приложениях к порядку приведены рекомендуемые образцы форм </w:t>
      </w:r>
      <w:hyperlink r:id="rId19" w:history="1">
        <w:r>
          <w:rPr>
            <w:color w:val="0000FF"/>
          </w:rPr>
          <w:t>расчета НМЦК</w:t>
        </w:r>
      </w:hyperlink>
      <w:r>
        <w:t xml:space="preserve"> и </w:t>
      </w:r>
      <w:hyperlink r:id="rId20" w:history="1">
        <w:r>
          <w:rPr>
            <w:color w:val="0000FF"/>
          </w:rPr>
          <w:t>протокола</w:t>
        </w:r>
      </w:hyperlink>
      <w:r>
        <w:t>.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t xml:space="preserve">При определении НМЦК в целом по объекту закупки каждый вид работ </w:t>
      </w:r>
      <w:hyperlink r:id="rId21" w:history="1">
        <w:r>
          <w:rPr>
            <w:color w:val="0000FF"/>
          </w:rPr>
          <w:t>необходимо включать</w:t>
        </w:r>
      </w:hyperlink>
      <w:r>
        <w:t xml:space="preserve"> в расчет отдельными строками.</w:t>
      </w:r>
    </w:p>
    <w:p w:rsidR="00050D0D" w:rsidRDefault="00050D0D">
      <w:pPr>
        <w:pStyle w:val="ConsPlusNormal"/>
        <w:ind w:firstLine="540"/>
        <w:jc w:val="both"/>
      </w:pPr>
    </w:p>
    <w:p w:rsidR="00050D0D" w:rsidRDefault="00050D0D">
      <w:pPr>
        <w:pStyle w:val="ConsPlusTitle"/>
        <w:ind w:firstLine="540"/>
        <w:jc w:val="both"/>
        <w:outlineLvl w:val="0"/>
      </w:pPr>
      <w:r>
        <w:t>Методика составления сметы контракта на строительство объекта "под ключ"</w:t>
      </w:r>
    </w:p>
    <w:p w:rsidR="00050D0D" w:rsidRDefault="00050D0D">
      <w:pPr>
        <w:pStyle w:val="ConsPlusNormal"/>
        <w:ind w:firstLine="540"/>
        <w:jc w:val="both"/>
      </w:pPr>
    </w:p>
    <w:p w:rsidR="00050D0D" w:rsidRDefault="00050D0D">
      <w:pPr>
        <w:pStyle w:val="ConsPlusTitle"/>
        <w:ind w:firstLine="540"/>
        <w:jc w:val="both"/>
        <w:outlineLvl w:val="1"/>
      </w:pPr>
      <w:r>
        <w:t>Как формировать смету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t xml:space="preserve">Смету контракта </w:t>
      </w:r>
      <w:hyperlink r:id="rId22" w:history="1">
        <w:r>
          <w:rPr>
            <w:color w:val="0000FF"/>
          </w:rPr>
          <w:t>будут формировать</w:t>
        </w:r>
      </w:hyperlink>
      <w:r>
        <w:t xml:space="preserve"> на основании ее проекта, подробное содержание которого определено в </w:t>
      </w:r>
      <w:hyperlink r:id="rId23" w:history="1">
        <w:r>
          <w:rPr>
            <w:color w:val="0000FF"/>
          </w:rPr>
          <w:t>разделе VI</w:t>
        </w:r>
      </w:hyperlink>
      <w:r>
        <w:t xml:space="preserve"> порядка, утвержденного приказом Минстроя от 23.12.2019 N 841/пр. В нем среди прочего должны быть определены виды работ и их стоимость.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t xml:space="preserve">Рекомендуемый образец сметы контракта </w:t>
      </w:r>
      <w:hyperlink r:id="rId24" w:history="1">
        <w:r>
          <w:rPr>
            <w:color w:val="0000FF"/>
          </w:rPr>
          <w:t>приведен</w:t>
        </w:r>
      </w:hyperlink>
      <w:r>
        <w:t xml:space="preserve"> в </w:t>
      </w:r>
      <w:hyperlink r:id="rId25" w:history="1">
        <w:r>
          <w:rPr>
            <w:color w:val="0000FF"/>
          </w:rPr>
          <w:t>приложении N 1</w:t>
        </w:r>
      </w:hyperlink>
      <w:r>
        <w:t xml:space="preserve"> к методике составления смет "строительных" контрактов.</w:t>
      </w:r>
    </w:p>
    <w:p w:rsidR="00050D0D" w:rsidRDefault="00050D0D">
      <w:pPr>
        <w:pStyle w:val="ConsPlusNormal"/>
        <w:ind w:firstLine="540"/>
        <w:jc w:val="both"/>
      </w:pPr>
    </w:p>
    <w:p w:rsidR="00050D0D" w:rsidRDefault="00050D0D">
      <w:pPr>
        <w:pStyle w:val="ConsPlusTitle"/>
        <w:ind w:firstLine="540"/>
        <w:jc w:val="both"/>
        <w:outlineLvl w:val="1"/>
      </w:pPr>
      <w:r>
        <w:t>Когда и как корректировать смету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t xml:space="preserve">Смету придется скорректировать в </w:t>
      </w:r>
      <w:hyperlink r:id="rId26" w:history="1">
        <w:r>
          <w:rPr>
            <w:color w:val="0000FF"/>
          </w:rPr>
          <w:t>случаях</w:t>
        </w:r>
      </w:hyperlink>
      <w:r>
        <w:t>, которые перечислены в методике составления смет "строительных" контрактов.</w:t>
      </w:r>
    </w:p>
    <w:p w:rsidR="00050D0D" w:rsidRDefault="00050D0D">
      <w:pPr>
        <w:pStyle w:val="ConsPlusNormal"/>
        <w:spacing w:before="220"/>
        <w:ind w:firstLine="540"/>
        <w:jc w:val="both"/>
      </w:pPr>
      <w:r>
        <w:t xml:space="preserve">Так, это </w:t>
      </w:r>
      <w:hyperlink r:id="rId27" w:history="1">
        <w:r>
          <w:rPr>
            <w:color w:val="0000FF"/>
          </w:rPr>
          <w:t>будет необходимо</w:t>
        </w:r>
      </w:hyperlink>
      <w:r>
        <w:t xml:space="preserve">, если в проектную документацию включат новые виды работ. Перерасчет в данном случае будет делаться по </w:t>
      </w:r>
      <w:hyperlink r:id="rId28" w:history="1">
        <w:r>
          <w:rPr>
            <w:color w:val="0000FF"/>
          </w:rPr>
          <w:t>формуле</w:t>
        </w:r>
      </w:hyperlink>
      <w:r>
        <w:t>, указанной в методике составления смет "строительных" контрактов.</w:t>
      </w:r>
    </w:p>
    <w:p w:rsidR="00050D0D" w:rsidRDefault="00050D0D">
      <w:pPr>
        <w:pStyle w:val="ConsPlusNormal"/>
        <w:ind w:firstLine="540"/>
        <w:jc w:val="both"/>
      </w:pPr>
    </w:p>
    <w:p w:rsidR="00050D0D" w:rsidRDefault="00050D0D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29" w:history="1">
        <w:r>
          <w:rPr>
            <w:i/>
            <w:color w:val="0000FF"/>
          </w:rPr>
          <w:t>Приказ</w:t>
        </w:r>
      </w:hyperlink>
      <w:r>
        <w:rPr>
          <w:i/>
        </w:rPr>
        <w:t xml:space="preserve"> Минстроя России от 30.03.2020 N 175/</w:t>
      </w:r>
      <w:proofErr w:type="gramStart"/>
      <w:r>
        <w:rPr>
          <w:i/>
        </w:rPr>
        <w:t>пр</w:t>
      </w:r>
      <w:proofErr w:type="gramEnd"/>
    </w:p>
    <w:p w:rsidR="00050D0D" w:rsidRDefault="00050D0D">
      <w:pPr>
        <w:pStyle w:val="ConsPlusNormal"/>
        <w:ind w:firstLine="540"/>
        <w:jc w:val="both"/>
      </w:pPr>
    </w:p>
    <w:p w:rsidR="00050D0D" w:rsidRDefault="00050D0D">
      <w:pPr>
        <w:pStyle w:val="ConsPlusNormal"/>
        <w:ind w:firstLine="540"/>
        <w:jc w:val="both"/>
      </w:pPr>
    </w:p>
    <w:p w:rsidR="00050D0D" w:rsidRDefault="00050D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3AA4" w:rsidRDefault="00C53AA4">
      <w:bookmarkStart w:id="0" w:name="_GoBack"/>
      <w:bookmarkEnd w:id="0"/>
    </w:p>
    <w:sectPr w:rsidR="00C53AA4" w:rsidSect="00CD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0D"/>
    <w:rsid w:val="00050D0D"/>
    <w:rsid w:val="00C5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0D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0D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369B8719936291B5EE14030772D9DE8D86EC04CA81CD592435CA3F8290ADC3BEC75650CB4BA294EC11DBB7EA39D338729E5CCF0F9645CBKBY1N" TargetMode="External"/><Relationship Id="rId13" Type="http://schemas.openxmlformats.org/officeDocument/2006/relationships/hyperlink" Target="consultantplus://offline/ref=0F369B8719936291B5EE14030772D9DE8D86EC04CA81CD592435CA3F8290ADC3BEC75650CB4BA296E511DBB7EA39D338729E5CCF0F9645CBKBY1N" TargetMode="External"/><Relationship Id="rId18" Type="http://schemas.openxmlformats.org/officeDocument/2006/relationships/hyperlink" Target="consultantplus://offline/ref=0F369B8719936291B5EE14030772D9DE8D86EC04CA81CD592435CA3F8290ADC3BEC75650CB4BA294E311DBB7EA39D338729E5CCF0F9645CBKBY1N" TargetMode="External"/><Relationship Id="rId26" Type="http://schemas.openxmlformats.org/officeDocument/2006/relationships/hyperlink" Target="consultantplus://offline/ref=0F369B8719936291B5EE14030772D9DE8D86EC04CA81CD592435CA3F8290ADC3BEC75650CB4BA395EC11DBB7EA39D338729E5CCF0F9645CBKBY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F369B8719936291B5EE14030772D9DE8D86EC04CA81CD592435CA3F8290ADC3BEC75650CB4BA294E011DBB7EA39D338729E5CCF0F9645CBKBY1N" TargetMode="External"/><Relationship Id="rId7" Type="http://schemas.openxmlformats.org/officeDocument/2006/relationships/hyperlink" Target="consultantplus://offline/ref=0F369B8719936291B5EE14030772D9DE8D86EC04CA81CD592435CA3F8290ADC3BEC75650CB4BA294E611DBB7EA39D338729E5CCF0F9645CBKBY1N" TargetMode="External"/><Relationship Id="rId12" Type="http://schemas.openxmlformats.org/officeDocument/2006/relationships/hyperlink" Target="consultantplus://offline/ref=0F369B8719936291B5EE14030772D9DE8D86EC04CA81CD592435CA3F8290ADC3BEC75650CB4BA296E711DBB7EA39D338729E5CCF0F9645CBKBY1N" TargetMode="External"/><Relationship Id="rId17" Type="http://schemas.openxmlformats.org/officeDocument/2006/relationships/hyperlink" Target="consultantplus://offline/ref=0F369B8719936291B5EE14030772D9DE8D86EC04CA81CD592435CA3F8290ADC3BEC75650CB4BA297E411DBB7EA39D338729E5CCF0F9645CBKBY1N" TargetMode="External"/><Relationship Id="rId25" Type="http://schemas.openxmlformats.org/officeDocument/2006/relationships/hyperlink" Target="consultantplus://offline/ref=0F369B8719936291B5EE14030772D9DE8D87E805CD87CD592435CA3F8290ADC3BEC75650CB4BA196EC11DBB7EA39D338729E5CCF0F9645CBKBY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F369B8719936291B5EE14030772D9DE8D86EC04CA81CD592435CA3F8290ADC3BEC75650CB4BA291E511DBB7EA39D338729E5CCF0F9645CBKBY1N" TargetMode="External"/><Relationship Id="rId20" Type="http://schemas.openxmlformats.org/officeDocument/2006/relationships/hyperlink" Target="consultantplus://offline/ref=0F369B8719936291B5EE14030772D9DE8D86EC04CA81CD592435CA3F8290ADC3BEC75650CB4BA293EC11DBB7EA39D338729E5CCF0F9645CBKBY1N" TargetMode="External"/><Relationship Id="rId29" Type="http://schemas.openxmlformats.org/officeDocument/2006/relationships/hyperlink" Target="consultantplus://offline/ref=0F369B8719936291B5EE14030772D9DE8D86EC04CA81CD592435CA3F8290ADC3ACC70E5CC94ABC95E2048DE6ACK6Y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369B8719936291B5EE14030772D9DE8D87E507C884CD592435CA3F8290ADC3BEC75650CE43A9C1B45EDAEBAC6DC03A749E5EC813K9Y4N" TargetMode="External"/><Relationship Id="rId11" Type="http://schemas.openxmlformats.org/officeDocument/2006/relationships/hyperlink" Target="consultantplus://offline/ref=0F369B8719936291B5EE14030772D9DE8D86EC04CA81CD592435CA3F8290ADC3BEC75650CB4BA297EC11DBB7EA39D338729E5CCF0F9645CBKBY1N" TargetMode="External"/><Relationship Id="rId24" Type="http://schemas.openxmlformats.org/officeDocument/2006/relationships/hyperlink" Target="consultantplus://offline/ref=0F369B8719936291B5EE14030772D9DE8D86EC04CA81CD592435CA3F8290ADC3BEC75650CB4BA395ED11DBB7EA39D338729E5CCF0F9645CBKBY1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F369B8719936291B5EE14030772D9DE8D86EC04CA81CD592435CA3F8290ADC3BEC75650CB4BA296E011DBB7EA39D338729E5CCF0F9645CBKBY1N" TargetMode="External"/><Relationship Id="rId23" Type="http://schemas.openxmlformats.org/officeDocument/2006/relationships/hyperlink" Target="consultantplus://offline/ref=0F369B8719936291B5EE14030772D9DE8D87E805CD87CD592435CA3F8290ADC3BEC75650CB4BA394EC11DBB7EA39D338729E5CCF0F9645CBKBY1N" TargetMode="External"/><Relationship Id="rId28" Type="http://schemas.openxmlformats.org/officeDocument/2006/relationships/hyperlink" Target="consultantplus://offline/ref=0F369B8719936291B5EE14030772D9DE8D87E805CD87CD592435CA3F8290ADC3BEC75650CB4BA197E211DBB7EA39D338729E5CCF0F9645CBKBY1N" TargetMode="External"/><Relationship Id="rId10" Type="http://schemas.openxmlformats.org/officeDocument/2006/relationships/hyperlink" Target="consultantplus://offline/ref=0F369B8719936291B5EE14030772D9DE8D86EC04CA81CD592435CA3F8290ADC3BEC75650CB4BA297E311DBB7EA39D338729E5CCF0F9645CBKBY1N" TargetMode="External"/><Relationship Id="rId19" Type="http://schemas.openxmlformats.org/officeDocument/2006/relationships/hyperlink" Target="consultantplus://offline/ref=0F369B8719936291B5EE14030772D9DE8D86EC04CA81CD592435CA3F8290ADC3BEC75650CB4BA292E011DBB7EA39D338729E5CCF0F9645CBKBY1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369B8719936291B5EE0B160272D9DE8C87EB07CC8C90532C6CC63D859FF2D4B98E5A51CB42A19CEE4EDEA2FB61DC3B6D805BD6139447KCY9N" TargetMode="External"/><Relationship Id="rId14" Type="http://schemas.openxmlformats.org/officeDocument/2006/relationships/hyperlink" Target="consultantplus://offline/ref=0F369B8719936291B5EE14030772D9DE8D86EC04CA81CD592435CA3F8290ADC3BEC75650CB4BA297E511DBB7EA39D338729E5CCF0F9645CBKBY1N" TargetMode="External"/><Relationship Id="rId22" Type="http://schemas.openxmlformats.org/officeDocument/2006/relationships/hyperlink" Target="consultantplus://offline/ref=0F369B8719936291B5EE14030772D9DE8D86EC04CA81CD592435CA3F8290ADC3BEC75650CB4BA395E211DBB7EA39D338729E5CCF0F9645CBKBY1N" TargetMode="External"/><Relationship Id="rId27" Type="http://schemas.openxmlformats.org/officeDocument/2006/relationships/hyperlink" Target="consultantplus://offline/ref=0F369B8719936291B5EE14030772D9DE8D87E805CD87CD592435CA3F8290ADC3BEC75650CB4BA197E311DBB7EA39D338729E5CCF0F9645CBKBY1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2020-07-21T13:24:00Z</dcterms:created>
  <dcterms:modified xsi:type="dcterms:W3CDTF">2020-07-21T13:24:00Z</dcterms:modified>
</cp:coreProperties>
</file>