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EE" w:rsidRDefault="00E261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61EE" w:rsidRDefault="00E261EE">
      <w:pPr>
        <w:pStyle w:val="ConsPlusNormal"/>
        <w:ind w:firstLine="540"/>
        <w:jc w:val="both"/>
        <w:outlineLvl w:val="0"/>
      </w:pPr>
    </w:p>
    <w:p w:rsidR="00E261EE" w:rsidRDefault="00E261E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E261EE" w:rsidRDefault="00E261EE">
      <w:pPr>
        <w:pStyle w:val="ConsPlusNormal"/>
        <w:jc w:val="both"/>
      </w:pPr>
    </w:p>
    <w:p w:rsidR="00E261EE" w:rsidRDefault="00E261EE">
      <w:pPr>
        <w:pStyle w:val="ConsPlusTitle"/>
        <w:jc w:val="center"/>
      </w:pPr>
      <w:r>
        <w:t>АДМИНИСТРАТИВНАЯ ПРАКТИКА ПО ЗАКОНУ N 44-ФЗ:</w:t>
      </w:r>
    </w:p>
    <w:p w:rsidR="00E261EE" w:rsidRDefault="00E261EE">
      <w:pPr>
        <w:pStyle w:val="ConsPlusTitle"/>
        <w:jc w:val="center"/>
      </w:pPr>
      <w:r>
        <w:t>ОБЗОР ЗА 2 - 13 ДЕКАБРЯ</w:t>
      </w:r>
    </w:p>
    <w:p w:rsidR="00E261EE" w:rsidRDefault="00E261EE">
      <w:pPr>
        <w:pStyle w:val="ConsPlusNormal"/>
      </w:pPr>
    </w:p>
    <w:p w:rsidR="00E261EE" w:rsidRDefault="00E261E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E261EE" w:rsidRDefault="00E261E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23.12.2019.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t>Мы выбрали девять решений антимонопольных органов, включенных в систему КонсультантПлюс в первой половине декабря. Опираясь на эту практику, вы сможете избежать нарушений при разработке проектов контрактов, рассмотрении заявок и решении других вопросов.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Title"/>
        <w:ind w:firstLine="540"/>
        <w:jc w:val="both"/>
        <w:outlineLvl w:val="0"/>
      </w:pPr>
      <w:r>
        <w:t>Условия в проекте контракта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наличие требования о раскрытии информации о субподрядчиках.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данное </w:t>
      </w:r>
      <w:hyperlink r:id="rId6" w:history="1">
        <w:r>
          <w:rPr>
            <w:color w:val="0000FF"/>
          </w:rPr>
          <w:t>требование</w:t>
        </w:r>
      </w:hyperlink>
      <w:r>
        <w:t xml:space="preserve"> нужно устанавливать, только если НМЦК закупки для региональных или муниципальных нужд превышает </w:t>
      </w:r>
      <w:hyperlink r:id="rId7" w:history="1">
        <w:r>
          <w:rPr>
            <w:color w:val="0000FF"/>
          </w:rPr>
          <w:t xml:space="preserve">100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 xml:space="preserve">., а для федеральных нужд - </w:t>
      </w:r>
      <w:hyperlink r:id="rId8" w:history="1">
        <w:r>
          <w:rPr>
            <w:color w:val="0000FF"/>
          </w:rPr>
          <w:t>1 млрд руб</w:t>
        </w:r>
      </w:hyperlink>
      <w:r>
        <w:t>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9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Оренбургского</w:t>
      </w:r>
      <w:proofErr w:type="gramEnd"/>
      <w:r>
        <w:rPr>
          <w:i/>
        </w:rPr>
        <w:t xml:space="preserve"> УФАС России от 27.11.2019 по делу N 056/06/64-1629/2019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условие об ответственности сторон.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проверьте, чтобы в условии о штрафах не было словосочетания "в виде фиксированной суммы". Оно </w:t>
      </w:r>
      <w:hyperlink r:id="rId10" w:history="1">
        <w:r>
          <w:rPr>
            <w:color w:val="0000FF"/>
          </w:rPr>
          <w:t>исключено</w:t>
        </w:r>
      </w:hyperlink>
      <w:r>
        <w:t xml:space="preserve"> из текста правительственных правил с 14 августа.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1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Якутского</w:t>
      </w:r>
      <w:proofErr w:type="gramEnd"/>
      <w:r>
        <w:rPr>
          <w:i/>
        </w:rPr>
        <w:t xml:space="preserve"> УФАС России от 27.11.2019 по делу N 014/06/64-3243/2019, 014/06/64-3244/2019, 014/06/64-3245/2019, 014/06/64-3246/2019, 014/06/64-3249/2019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условие о сроке действия банковской гарантии.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срок действия гарантии должен превышать не менее чем на месяц срок исполнения обеспечиваемых гарантией обязательств, а не срок действия контракта.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2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Ингушского</w:t>
      </w:r>
      <w:proofErr w:type="gramEnd"/>
      <w:r>
        <w:rPr>
          <w:i/>
        </w:rPr>
        <w:t xml:space="preserve"> УФАС России от 28.11.2019 по делу N 006/06/64-126/2019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требования к обеспечению исполнения гарантийных обязательств.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в контракте </w:t>
      </w:r>
      <w:hyperlink r:id="rId13" w:history="1">
        <w:r>
          <w:rPr>
            <w:color w:val="0000FF"/>
          </w:rPr>
          <w:t>следует предусмотреть</w:t>
        </w:r>
      </w:hyperlink>
      <w:r>
        <w:t xml:space="preserve"> не только порядок предоставления обеспечения гарантийных обязательств, но и срок.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4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Мордовского</w:t>
      </w:r>
      <w:proofErr w:type="gramEnd"/>
      <w:r>
        <w:rPr>
          <w:i/>
        </w:rPr>
        <w:t xml:space="preserve"> УФАС России от 26.11.2019 по делу N 013/06/64-669/2019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Title"/>
        <w:ind w:firstLine="540"/>
        <w:jc w:val="both"/>
        <w:outlineLvl w:val="0"/>
      </w:pPr>
      <w:r>
        <w:t>Содержание документации для аукционов на строительство и капремонт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требование о представлении выписки из реестра членов "строительных" СРО.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участник должен представить выписку из реестра членов СРО по </w:t>
      </w:r>
      <w:hyperlink r:id="rId15" w:history="1">
        <w:r>
          <w:rPr>
            <w:color w:val="0000FF"/>
          </w:rPr>
          <w:t>форме</w:t>
        </w:r>
      </w:hyperlink>
      <w:r>
        <w:t>, утвержденной Приказом Ростехнадзора от 04.03.2019 N 86.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t xml:space="preserve">Заказчики продолжают ссылаться в документации на </w:t>
      </w:r>
      <w:hyperlink r:id="rId16" w:history="1">
        <w:r>
          <w:rPr>
            <w:color w:val="0000FF"/>
          </w:rPr>
          <w:t>старый приказ</w:t>
        </w:r>
      </w:hyperlink>
      <w:r>
        <w:t>, который утратил силу.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7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Калужского</w:t>
      </w:r>
      <w:proofErr w:type="gramEnd"/>
      <w:r>
        <w:rPr>
          <w:i/>
        </w:rPr>
        <w:t xml:space="preserve"> УФАС России от 29.11.2019 N 040/06/64-1116/2019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требования к первой части заявки на участие в аукционе на строительство, реконструкцию, капремонт, снос объектов капстроительства.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если в состав документации о закупке включен локальный сметный расчет, от участника нельзя требовать привести конкретные показатели товара, используемого при выполнении работ.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Московского</w:t>
      </w:r>
      <w:proofErr w:type="gramEnd"/>
      <w:r>
        <w:rPr>
          <w:i/>
        </w:rPr>
        <w:t xml:space="preserve"> областного УФАС России от 26.11.2019 по делу N 50/06/40993эп/19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правильность определения даты проведения аукциона на закупку работ по строительству, реконструкции, капремонту, сносу объектов капстроительства.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если в состав документации о закупке входит проектная документация, аукцион проводится через </w:t>
      </w:r>
      <w:hyperlink r:id="rId19" w:history="1">
        <w:r>
          <w:rPr>
            <w:color w:val="0000FF"/>
          </w:rPr>
          <w:t>четыре часа</w:t>
        </w:r>
      </w:hyperlink>
      <w:r>
        <w:t xml:space="preserve"> после окончания срока подачи заявок.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0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Московского</w:t>
      </w:r>
      <w:proofErr w:type="gramEnd"/>
      <w:r>
        <w:rPr>
          <w:i/>
        </w:rPr>
        <w:t xml:space="preserve"> УФАС России от 28.11.2019 по делу N 077/06/57-15766/2019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Title"/>
        <w:ind w:firstLine="540"/>
        <w:jc w:val="both"/>
        <w:outlineLvl w:val="0"/>
      </w:pPr>
      <w:r>
        <w:t>Требования к закупкам у СМП и СОНКО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правомерность проведения закупки только для СМП и СОНКО.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обратите внимание на НМЦК - она не может превышать </w:t>
      </w:r>
      <w:hyperlink r:id="rId21" w:history="1">
        <w:r>
          <w:rPr>
            <w:color w:val="0000FF"/>
          </w:rPr>
          <w:t xml:space="preserve">20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>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2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Чувашского</w:t>
      </w:r>
      <w:proofErr w:type="gramEnd"/>
      <w:r>
        <w:rPr>
          <w:i/>
        </w:rPr>
        <w:t xml:space="preserve"> УФАС России от 28.11.2019 по делу N 021/06/64-837/2019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Что проверить:</w:t>
      </w:r>
      <w:r>
        <w:t xml:space="preserve"> требования к декларации о принадлежности участника аукциона к СМП или СОНКО.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b/>
        </w:rPr>
        <w:t>Как должно быть:</w:t>
      </w:r>
      <w:r>
        <w:t xml:space="preserve"> следует указать, что декларация </w:t>
      </w:r>
      <w:hyperlink r:id="rId23" w:history="1">
        <w:r>
          <w:rPr>
            <w:color w:val="0000FF"/>
          </w:rPr>
          <w:t>предоставляется</w:t>
        </w:r>
      </w:hyperlink>
      <w:r>
        <w:t xml:space="preserve"> с использованием программно-аппаратных средств электронной площадки.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24" w:history="1">
        <w:r>
          <w:rPr>
            <w:i/>
            <w:color w:val="0000FF"/>
          </w:rPr>
          <w:t>Решение</w:t>
        </w:r>
      </w:hyperlink>
      <w:r>
        <w:rPr>
          <w:i/>
        </w:rPr>
        <w:t xml:space="preserve"> </w:t>
      </w:r>
      <w:proofErr w:type="gramStart"/>
      <w:r>
        <w:rPr>
          <w:i/>
        </w:rPr>
        <w:t>Курского</w:t>
      </w:r>
      <w:proofErr w:type="gramEnd"/>
      <w:r>
        <w:rPr>
          <w:i/>
        </w:rPr>
        <w:t xml:space="preserve"> УФАС России от 28.11.2019 по делу N 046/06/64-721/2019</w:t>
      </w: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ind w:firstLine="540"/>
        <w:jc w:val="both"/>
      </w:pPr>
    </w:p>
    <w:p w:rsidR="00E261EE" w:rsidRDefault="00E261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60B6" w:rsidRDefault="003460B6">
      <w:bookmarkStart w:id="0" w:name="_GoBack"/>
      <w:bookmarkEnd w:id="0"/>
    </w:p>
    <w:sectPr w:rsidR="003460B6" w:rsidSect="0091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EE"/>
    <w:rsid w:val="003460B6"/>
    <w:rsid w:val="00E2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1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1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E07AF6D983939A12C11FF503D47B340B52B2C350F422CFE40B8FBEA66DEF56F3C67B9DA22F4B0968E1DF4A2BA6B8935773BDC0E3B72514d8M" TargetMode="External"/><Relationship Id="rId13" Type="http://schemas.openxmlformats.org/officeDocument/2006/relationships/hyperlink" Target="consultantplus://offline/ref=C617E07AF6D983939A12C11FF503D47B360F57B1C15CF422CFE40B8FBEA66DEF56F3C67B9EAA28405432F1DB037CABA4934D6DBBDEE31Bd7M" TargetMode="External"/><Relationship Id="rId18" Type="http://schemas.openxmlformats.org/officeDocument/2006/relationships/hyperlink" Target="consultantplus://offline/ref=C617E07AF6D983939A12DD1FF103D47B330D51B0C552F422CFE40B8FBEA66DEF56F3C67B9DA22F430968E1DF4A2BA6B8935773BDC0E3B72514d8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17E07AF6D983939A12C11FF503D47B360F57B1C15CF422CFE40B8FBEA66DEF56F3C67B9DA3274E0868E1DF4A2BA6B8935773BDC0E3B72514d8M" TargetMode="External"/><Relationship Id="rId7" Type="http://schemas.openxmlformats.org/officeDocument/2006/relationships/hyperlink" Target="consultantplus://offline/ref=C617E07AF6D983939A12C11FF503D47B340B52B2C350F422CFE40B8FBEA66DEF56F3C67B9DA22F4A0068E1DF4A2BA6B8935773BDC0E3B72514d8M" TargetMode="External"/><Relationship Id="rId12" Type="http://schemas.openxmlformats.org/officeDocument/2006/relationships/hyperlink" Target="consultantplus://offline/ref=C617E07AF6D983939A12DD1FF103D47B330D52BAC152F422CFE40B8FBEA66DEF56F3C67B9DA22F480768E1DF4A2BA6B8935773BDC0E3B72514d8M" TargetMode="External"/><Relationship Id="rId17" Type="http://schemas.openxmlformats.org/officeDocument/2006/relationships/hyperlink" Target="consultantplus://offline/ref=C617E07AF6D983939A12DD1FF103D47B330D52BBC55CF422CFE40B8FBEA66DEF56F3C67B9DA22F480068E1DF4A2BA6B8935773BDC0E3B72514d8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17E07AF6D983939A12C11FF503D47B370C50BBC151F422CFE40B8FBEA66DEF44F39E779FA2314B047DB78E0C17dEM" TargetMode="External"/><Relationship Id="rId20" Type="http://schemas.openxmlformats.org/officeDocument/2006/relationships/hyperlink" Target="consultantplus://offline/ref=C617E07AF6D983939A12DD1FF103D47B330D52BAC154F422CFE40B8FBEA66DEF56F3C67B9DA22F480468E1DF4A2BA6B8935773BDC0E3B72514d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17E07AF6D983939A12C11FF503D47B360F57B1C15CF422CFE40B8FBEA66DEF56F3C67B9DA22B490368E1DF4A2BA6B8935773BDC0E3B72514d8M" TargetMode="External"/><Relationship Id="rId11" Type="http://schemas.openxmlformats.org/officeDocument/2006/relationships/hyperlink" Target="consultantplus://offline/ref=C617E07AF6D983939A12DD1FF103D47B330D52BBC451F422CFE40B8FBEA66DEF44F39E779FA2314B047DB78E0C17dEM" TargetMode="External"/><Relationship Id="rId24" Type="http://schemas.openxmlformats.org/officeDocument/2006/relationships/hyperlink" Target="consultantplus://offline/ref=C617E07AF6D983939A12DD1FF103D47B330D52BAC65DF422CFE40B8FBEA66DEF56F3C67B9DA22F4F0068E1DF4A2BA6B8935773BDC0E3B72514d8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17E07AF6D983939A12C11FF503D47B360F51B2C753F422CFE40B8FBEA66DEF56F3C67B9DA22F4A0168E1DF4A2BA6B8935773BDC0E3B72514d8M" TargetMode="External"/><Relationship Id="rId23" Type="http://schemas.openxmlformats.org/officeDocument/2006/relationships/hyperlink" Target="consultantplus://offline/ref=C617E07AF6D983939A12DD1FF103D47B330D52BAC65DF422CFE40B8FBEA66DEF56F3C67B9DA22F4F0168E1DF4A2BA6B8935773BDC0E3B72514d8M" TargetMode="External"/><Relationship Id="rId10" Type="http://schemas.openxmlformats.org/officeDocument/2006/relationships/hyperlink" Target="consultantplus://offline/ref=C617E07AF6D983939A12C11FF503D47B360E53BBC253F422CFE40B8FBEA66DEF56F3C67B9DA22F4B0968E1DF4A2BA6B8935773BDC0E3B72514d8M" TargetMode="External"/><Relationship Id="rId19" Type="http://schemas.openxmlformats.org/officeDocument/2006/relationships/hyperlink" Target="consultantplus://offline/ref=C617E07AF6D983939A12C11FF503D47B360F57B1C15CF422CFE40B8FBEA66DEF56F3C67B9FA42C405432F1DB037CABA4934D6DBBDEE31Bd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E07AF6D983939A12DD1FF103D47B330D52BAC657F422CFE40B8FBEA66DEF56F3C67B9DA22F490468E1DF4A2BA6B8935773BDC0E3B72514d8M" TargetMode="External"/><Relationship Id="rId14" Type="http://schemas.openxmlformats.org/officeDocument/2006/relationships/hyperlink" Target="consultantplus://offline/ref=C617E07AF6D983939A12DD1FF103D47B330D52BBC556F422CFE40B8FBEA66DEF56F3C67B9DA22F4E0368E1DF4A2BA6B8935773BDC0E3B72514d8M" TargetMode="External"/><Relationship Id="rId22" Type="http://schemas.openxmlformats.org/officeDocument/2006/relationships/hyperlink" Target="consultantplus://offline/ref=C617E07AF6D983939A12DD1FF103D47B330D52BAC056F422CFE40B8FBEA66DEF56F3C67B9DA22F490768E1DF4A2BA6B8935773BDC0E3B72514d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2020-04-20T12:29:00Z</dcterms:created>
  <dcterms:modified xsi:type="dcterms:W3CDTF">2020-04-20T12:29:00Z</dcterms:modified>
</cp:coreProperties>
</file>