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03" w:rsidRDefault="004E5C0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E5C03" w:rsidRDefault="004E5C03">
      <w:pPr>
        <w:pStyle w:val="ConsPlusNormal"/>
        <w:ind w:firstLine="540"/>
        <w:jc w:val="both"/>
        <w:outlineLvl w:val="0"/>
      </w:pPr>
    </w:p>
    <w:p w:rsidR="004E5C03" w:rsidRDefault="004E5C03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4E5C03" w:rsidRDefault="004E5C03">
      <w:pPr>
        <w:pStyle w:val="ConsPlusNormal"/>
        <w:jc w:val="both"/>
      </w:pPr>
    </w:p>
    <w:p w:rsidR="004E5C03" w:rsidRDefault="004E5C03">
      <w:pPr>
        <w:pStyle w:val="ConsPlusTitle"/>
        <w:jc w:val="center"/>
      </w:pPr>
      <w:r>
        <w:t>СУДЕБНАЯ ПРАКТИКА ПО ЗАКОНУ N 44-ФЗ:</w:t>
      </w:r>
    </w:p>
    <w:p w:rsidR="004E5C03" w:rsidRDefault="004E5C03">
      <w:pPr>
        <w:pStyle w:val="ConsPlusTitle"/>
        <w:jc w:val="center"/>
      </w:pPr>
      <w:r>
        <w:t>ОБЗОР ЗА 14 - 18 ОКТЯБРЯ</w:t>
      </w:r>
    </w:p>
    <w:p w:rsidR="004E5C03" w:rsidRDefault="004E5C03">
      <w:pPr>
        <w:pStyle w:val="ConsPlusNormal"/>
      </w:pPr>
    </w:p>
    <w:p w:rsidR="004E5C03" w:rsidRDefault="004E5C03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"КонсультантПлюс".</w:t>
      </w:r>
    </w:p>
    <w:p w:rsidR="004E5C03" w:rsidRDefault="004E5C03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24.10.2019.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</w:pPr>
      <w:r>
        <w:t>Мы выбрали шесть постановлений, включенных в систему КонсультантПлюс на прошлой неделе. Какие случаи изменения контракта нельзя включать в документацию? Отклонять ли заявку с ошибкой в номере ГОСТа? Вернет ли банк деньги за некорректно составленную гарантию? Ответы на эти и другие вопросы в нашем обзоре.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  <w:outlineLvl w:val="0"/>
      </w:pPr>
      <w:r>
        <w:rPr>
          <w:b/>
        </w:rPr>
        <w:t>В документации нужно приводить только те случаи изменения контракта, которые применимы именно к этой закупке</w:t>
      </w:r>
    </w:p>
    <w:p w:rsidR="004E5C03" w:rsidRDefault="004E5C03">
      <w:pPr>
        <w:pStyle w:val="ConsPlusNormal"/>
        <w:spacing w:before="220"/>
        <w:ind w:firstLine="540"/>
        <w:jc w:val="both"/>
      </w:pPr>
      <w:r>
        <w:t xml:space="preserve">Заказчик скопировал в документацию нормы Закона N 44-ФЗ о </w:t>
      </w:r>
      <w:hyperlink r:id="rId6" w:history="1">
        <w:r>
          <w:rPr>
            <w:color w:val="0000FF"/>
          </w:rPr>
          <w:t>случаях</w:t>
        </w:r>
      </w:hyperlink>
      <w:r>
        <w:t xml:space="preserve">, когда допускается менять существенные условия контракта. Среди них оказались положения, которые к данной закупке не относились. Например, что контракт </w:t>
      </w:r>
      <w:hyperlink r:id="rId7" w:history="1">
        <w:r>
          <w:rPr>
            <w:color w:val="0000FF"/>
          </w:rPr>
          <w:t>можно изменить</w:t>
        </w:r>
      </w:hyperlink>
      <w:r>
        <w:t xml:space="preserve"> при корректировке регулируемых цен, хотя цена спорной закупки не была регулируемой.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</w:pPr>
      <w:r>
        <w:t>Суды поддержали проверяющих: включив не соответствующие действительности условия, заказчик вводит участников закупки в заблуждение.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8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Северо-Западного округа от 30.09.2019 по делу N А44-12383/2018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  <w:outlineLvl w:val="0"/>
      </w:pPr>
      <w:r>
        <w:rPr>
          <w:b/>
        </w:rPr>
        <w:t>В проект контракта не следует вносить оговорку об отсрочке оплаты из-за перебоев в финансировании</w:t>
      </w:r>
    </w:p>
    <w:p w:rsidR="004E5C03" w:rsidRDefault="004E5C03">
      <w:pPr>
        <w:pStyle w:val="ConsPlusNormal"/>
        <w:spacing w:before="220"/>
        <w:ind w:firstLine="540"/>
        <w:jc w:val="both"/>
      </w:pPr>
      <w:r>
        <w:t>Заказчик в проекте контракта сделал оговорку о том, что при несвоевременном финансировании оплата производится по мере поступления средств. Суды трех инстанций признали это условие незаконным: сроки оплаты нельзя ставить в зависимость от условий, не предусмотренных законом.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9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Северо-Западного округа от 30.09.2019 по делу N А44-12383/2018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  <w:outlineLvl w:val="0"/>
      </w:pPr>
      <w:r>
        <w:rPr>
          <w:b/>
        </w:rPr>
        <w:t>Заказчик не должен требовать аттестат аккредитации, если соответствующие работы не являются самостоятельным объектом закупки</w:t>
      </w:r>
    </w:p>
    <w:p w:rsidR="004E5C03" w:rsidRDefault="004E5C03">
      <w:pPr>
        <w:pStyle w:val="ConsPlusNormal"/>
        <w:spacing w:before="220"/>
        <w:ind w:firstLine="540"/>
        <w:jc w:val="both"/>
      </w:pPr>
      <w:r>
        <w:t>Участник закупки пожаловался на заказчика, который не установил требование о наличии аттестата аккредитации. УФАС и суды трех инстанций встали на сторону заказчика. Он не должен требовать аттестат, если соответствующие работы не образуют самостоятельного объекта закупки, а лишь входят в его состав. Кроме того, по условиям контракта допускалось привлечение соисполнителей.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0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Западно-Сибирского округа от 03.10.2019 по делу N А81-1426/2019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  <w:outlineLvl w:val="0"/>
      </w:pPr>
      <w:r>
        <w:rPr>
          <w:b/>
        </w:rPr>
        <w:t xml:space="preserve">Нельзя отклонять заявку из-за ошибки в номере ГОСТа, если она не может ввести </w:t>
      </w:r>
      <w:r>
        <w:rPr>
          <w:b/>
        </w:rPr>
        <w:lastRenderedPageBreak/>
        <w:t>заказчика в заблуждение</w:t>
      </w:r>
    </w:p>
    <w:p w:rsidR="004E5C03" w:rsidRDefault="004E5C03">
      <w:pPr>
        <w:pStyle w:val="ConsPlusNormal"/>
        <w:spacing w:before="220"/>
        <w:ind w:firstLine="540"/>
        <w:jc w:val="both"/>
      </w:pPr>
      <w:r>
        <w:t xml:space="preserve">Заказчик отклонил заявку участника. Одна из причин - участник неправильно обозначил номер ГОСТа, не включив в него две последние цифры (год утверждения стандарта). </w:t>
      </w:r>
      <w:proofErr w:type="gramStart"/>
      <w:r>
        <w:t>Вместо</w:t>
      </w:r>
      <w:proofErr w:type="gramEnd"/>
      <w:r>
        <w:t xml:space="preserve"> ГОСТ 15150-69 в заявке был указан ГОСТ 15150.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</w:pPr>
      <w:r>
        <w:t xml:space="preserve">УФАС и суды посчитали такую причину </w:t>
      </w:r>
      <w:proofErr w:type="gramStart"/>
      <w:r>
        <w:t>надуманной</w:t>
      </w:r>
      <w:proofErr w:type="gramEnd"/>
      <w:r>
        <w:t xml:space="preserve">. Иного ГОСТа с приведенными в заявке данными, </w:t>
      </w:r>
      <w:proofErr w:type="gramStart"/>
      <w:r>
        <w:t>кроме</w:t>
      </w:r>
      <w:proofErr w:type="gramEnd"/>
      <w:r>
        <w:t xml:space="preserve"> ГОСТ 15150-69, нет. Подобная ошибка в номере стандарта не могла ввести заказчика в заблуждение относительно характеристик товара.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1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Северо-Западного округа от 30.09.2019 по делу N А56-122882/2018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  <w:outlineLvl w:val="0"/>
      </w:pPr>
      <w:r>
        <w:rPr>
          <w:b/>
        </w:rPr>
        <w:t>Участник вправе взыскать вознаграждение, уплаченное за банковскую гарантию, если ее условия оказались некорректными</w:t>
      </w:r>
    </w:p>
    <w:p w:rsidR="004E5C03" w:rsidRDefault="004E5C03">
      <w:pPr>
        <w:pStyle w:val="ConsPlusNormal"/>
        <w:spacing w:before="220"/>
        <w:ind w:firstLine="540"/>
        <w:jc w:val="both"/>
      </w:pPr>
      <w:r>
        <w:t xml:space="preserve">Участник закупки не смог заключить контракт из-за неверно составленной банковской гарантии. Суды признали обоснованным требование к банку вернуть уплаченное за гарантию вознаграждение - более 1 </w:t>
      </w:r>
      <w:proofErr w:type="gramStart"/>
      <w:r>
        <w:t>млн</w:t>
      </w:r>
      <w:proofErr w:type="gramEnd"/>
      <w:r>
        <w:t xml:space="preserve"> руб.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</w:pPr>
      <w:r>
        <w:t xml:space="preserve">Суды отметили: банк является профессиональным участником рынка финансовых услуг и не может не знать о требованиях, предъявляемых к гарантиям при закупках по </w:t>
      </w:r>
      <w:hyperlink r:id="rId12" w:history="1">
        <w:r>
          <w:rPr>
            <w:color w:val="0000FF"/>
          </w:rPr>
          <w:t>Закону</w:t>
        </w:r>
      </w:hyperlink>
      <w:r>
        <w:t xml:space="preserve"> N 44-ФЗ, и о последствиях их несоблюдения.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3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Поволжского округа от 16.09.2019 по делу N А55-10304/2018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  <w:outlineLvl w:val="0"/>
      </w:pPr>
      <w:r>
        <w:rPr>
          <w:b/>
        </w:rPr>
        <w:t>Технические неполадки в последний день подписания контракта не освободят участника от включения в РНП</w:t>
      </w:r>
    </w:p>
    <w:p w:rsidR="004E5C03" w:rsidRDefault="004E5C03">
      <w:pPr>
        <w:pStyle w:val="ConsPlusNormal"/>
        <w:spacing w:before="220"/>
        <w:ind w:firstLine="540"/>
        <w:jc w:val="both"/>
      </w:pPr>
      <w:r>
        <w:t>Участник закупки оспорил внесение сведений о нем в РНП. Основание - он не смог подписать контракт из-за неисправной электронной подписи. Суды не учли этот довод: неполадка возникла в последний день подписания контракта, у участника было достаточно времени обнаружить и устранить неисправность.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4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Московского округа от 08.10.2019 по делу N А40-315648/2018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  <w:outlineLvl w:val="0"/>
      </w:pPr>
      <w:r>
        <w:rPr>
          <w:b/>
        </w:rPr>
        <w:t>Нельзя удерживать за просрочку исполнения контракта и пени, и штраф</w:t>
      </w:r>
    </w:p>
    <w:p w:rsidR="004E5C03" w:rsidRDefault="004E5C03">
      <w:pPr>
        <w:pStyle w:val="ConsPlusNormal"/>
        <w:spacing w:before="220"/>
        <w:ind w:firstLine="540"/>
        <w:jc w:val="both"/>
      </w:pPr>
      <w:r>
        <w:t>Компания выполнила работы в полном объеме, но с просрочкой. Помимо пеней за просрочку заказчик удержал еще и штраф за ненадлежащее исполнение обязательств по контракту.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</w:pPr>
      <w:r>
        <w:t>Суды трех инстанций признали действия заказчика незаконными. Он имел право начислить только пени. Удержанный штраф суды сочли неосновательным обогащением.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5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Северо-Западного округа от 04.10.2019 по делу N А66-20856/2017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</w:pPr>
      <w:r>
        <w:t xml:space="preserve">Предыдущий обзор практики читайте </w:t>
      </w:r>
      <w:hyperlink r:id="rId16" w:history="1">
        <w:r>
          <w:rPr>
            <w:color w:val="0000FF"/>
          </w:rPr>
          <w:t>здесь</w:t>
        </w:r>
      </w:hyperlink>
      <w:r>
        <w:t>.</w:t>
      </w: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ind w:firstLine="540"/>
        <w:jc w:val="both"/>
      </w:pPr>
    </w:p>
    <w:p w:rsidR="004E5C03" w:rsidRDefault="004E5C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3B32" w:rsidRDefault="00A73B32">
      <w:bookmarkStart w:id="0" w:name="_GoBack"/>
      <w:bookmarkEnd w:id="0"/>
    </w:p>
    <w:sectPr w:rsidR="00A73B32" w:rsidSect="002B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03"/>
    <w:rsid w:val="004E5C03"/>
    <w:rsid w:val="00A7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5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5C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5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5C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AE473B4597ED0D1550AA9F033A27253117D984C08386CF108DD64FBC014306A345BA0D8D5113074907437978325A2C93EE5DD39938A65AET0M" TargetMode="External"/><Relationship Id="rId13" Type="http://schemas.openxmlformats.org/officeDocument/2006/relationships/hyperlink" Target="consultantplus://offline/ref=713AE473B4597ED0D1550AAAFC33A272501475984808386CF108DD64FBC014306A345BA0D8D5113670907437978325A2C93EE5DD39938A65AET0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3AE473B4597ED0D15515BBFD33A2725211789D4900386CF108DD64FBC014306A345BA0D8D4163B71907437978325A2C93EE5DD39938A65AET0M" TargetMode="External"/><Relationship Id="rId12" Type="http://schemas.openxmlformats.org/officeDocument/2006/relationships/hyperlink" Target="consultantplus://offline/ref=713AE473B4597ED0D15515BBFD33A2725211789D4900386CF108DD64FBC01430783403ACDAD50F3277852266D1ADT6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3AE473B4597ED0D15515BBFD33A272521079994801386CF108DD64FBC01430783403ACDAD50F3277852266D1ADT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3AE473B4597ED0D15515BBFD33A2725211789D4900386CF108DD64FBC014306A345BA0D8D4123373907437978325A2C93EE5DD39938A65AET0M" TargetMode="External"/><Relationship Id="rId11" Type="http://schemas.openxmlformats.org/officeDocument/2006/relationships/hyperlink" Target="consultantplus://offline/ref=713AE473B4597ED0D1550AA9F033A27253117D994809386CF108DD64FBC014306A345BA0D8D511307B907437978325A2C93EE5DD39938A65AET0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13AE473B4597ED0D1550AA9F033A27253117D984400386CF108DD64FBC014306A345BA0D8D5113174907437978325A2C93EE5DD39938A65AET0M" TargetMode="External"/><Relationship Id="rId10" Type="http://schemas.openxmlformats.org/officeDocument/2006/relationships/hyperlink" Target="consultantplus://offline/ref=713AE473B4597ED0D1550AA0F933A272501675984B09386CF108DD64FBC014306A345BA0D8D5113175907437978325A2C93EE5DD39938A65AET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3AE473B4597ED0D1550AA9F033A27253117D984C08386CF108DD64FBC014306A345BA0D8D5113173907437978325A2C93EE5DD39938A65AET0M" TargetMode="External"/><Relationship Id="rId14" Type="http://schemas.openxmlformats.org/officeDocument/2006/relationships/hyperlink" Target="consultantplus://offline/ref=713AE473B4597ED0D1550AB7F933A27252107F9C490A386CF108DD64FBC014306A345BA0D8D5113677907437978325A2C93EE5DD39938A65AET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2020-04-20T12:19:00Z</dcterms:created>
  <dcterms:modified xsi:type="dcterms:W3CDTF">2020-04-20T12:19:00Z</dcterms:modified>
</cp:coreProperties>
</file>