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F4" w:rsidRDefault="00BA5FF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5FF4" w:rsidRDefault="00BA5FF4">
      <w:pPr>
        <w:pStyle w:val="ConsPlusNormal"/>
        <w:ind w:firstLine="540"/>
        <w:jc w:val="both"/>
        <w:outlineLvl w:val="0"/>
      </w:pPr>
    </w:p>
    <w:p w:rsidR="00BA5FF4" w:rsidRDefault="00BA5FF4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BA5FF4" w:rsidRDefault="00BA5FF4">
      <w:pPr>
        <w:pStyle w:val="ConsPlusNormal"/>
        <w:jc w:val="both"/>
      </w:pPr>
    </w:p>
    <w:p w:rsidR="00BA5FF4" w:rsidRDefault="00BA5FF4">
      <w:pPr>
        <w:pStyle w:val="ConsPlusTitle"/>
        <w:jc w:val="center"/>
      </w:pPr>
      <w:r>
        <w:t>СУДЕБНАЯ ПРАКТИКА ПО ЗАКОНУ N 44-ФЗ:</w:t>
      </w:r>
    </w:p>
    <w:p w:rsidR="00BA5FF4" w:rsidRDefault="00BA5FF4">
      <w:pPr>
        <w:pStyle w:val="ConsPlusTitle"/>
        <w:jc w:val="center"/>
      </w:pPr>
      <w:r>
        <w:t>ОБЗОР ЗА 19 - 23 АВГУСТА</w:t>
      </w:r>
    </w:p>
    <w:p w:rsidR="00BA5FF4" w:rsidRDefault="00BA5FF4">
      <w:pPr>
        <w:pStyle w:val="ConsPlusNormal"/>
      </w:pPr>
    </w:p>
    <w:p w:rsidR="00BA5FF4" w:rsidRDefault="00BA5FF4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>Материал подготовлен с использованием правовых актов по состоянию на 27.08.2019.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>Мы отобрали пять постановлений, включенных в систему КонсультантПлюс на прошлой неделе. Возможна ли оплата работ при несогласованной замене материалов? Опасно ли слепое копирование положений ГОСТов? Как считать неустойку при частичном исполнении контракта? Ответы на эти и другие вопросы в нашем обзоре.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Title"/>
        <w:jc w:val="center"/>
        <w:outlineLvl w:val="0"/>
      </w:pPr>
      <w:r>
        <w:t>Участникам закупок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  <w:outlineLvl w:val="1"/>
      </w:pPr>
      <w:r>
        <w:rPr>
          <w:b/>
        </w:rPr>
        <w:t>Можно добиться оплаты работ и при несогласованной замене материалов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 xml:space="preserve">Заказчик отказался оплачивать выполненные работы. В ходе судебного разбирательства </w:t>
      </w:r>
      <w:hyperlink r:id="rId6" w:history="1">
        <w:r>
          <w:rPr>
            <w:color w:val="0000FF"/>
          </w:rPr>
          <w:t>выяснилось</w:t>
        </w:r>
      </w:hyperlink>
      <w:r>
        <w:t>: подрядчик использовал не согласованные в контракте материалы, при этом качество работ не ухудшилось, а улучшилось.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 xml:space="preserve">Заказчик сослался на то, что замену материалов подрядчик с ним не обговаривал, хотя согласование предусмотрено и контрактом, и </w:t>
      </w:r>
      <w:hyperlink r:id="rId7" w:history="1">
        <w:r>
          <w:rPr>
            <w:color w:val="0000FF"/>
          </w:rPr>
          <w:t>законом</w:t>
        </w:r>
      </w:hyperlink>
      <w:r>
        <w:t>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 xml:space="preserve">Суды поддержали подрядчика. Объект эксплуатируется, имеет потребительскую ценность для заказчика, замена материала не ухудшила качество работ, иных претензий к ним нет, цена контракта не увеличилась. При таких обстоятельствах заказчик </w:t>
      </w:r>
      <w:hyperlink r:id="rId8" w:history="1">
        <w:r>
          <w:rPr>
            <w:color w:val="0000FF"/>
          </w:rPr>
          <w:t>должен оплатить</w:t>
        </w:r>
      </w:hyperlink>
      <w:r>
        <w:t xml:space="preserve"> работы.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9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Восточно-Сибирского округа от 31.07.2019 по делу N А19-27923/2017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  <w:outlineLvl w:val="1"/>
      </w:pPr>
      <w:r>
        <w:rPr>
          <w:b/>
        </w:rPr>
        <w:t>С другого участника аукциона взыскать упущенную выгоду нельзя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>Две компании боролись за победу на аукционе. Участник, предложивший наименьшую цену, выбыл из аукциона из-за некорректной заявки. Контракт заключили со вторым участником.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>Второй участник обратился в суд, потребовав от первого участника возместить упущенную выгоду. Суть претензий: ответчик необоснованно вышел на аукцион и начал торговаться. Если бы он этого не сделал, истец был бы единственным участником и смог заключить контракт по начальной цене.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>Размер упущенной выгоды был рассчитан как разница между начальной и фактической ценой контракта.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>Суды трех инстанций не поддержали истца: он участвовал в аукционе и подавал ценовые предложения по своей инициативе.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0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Уральского округа от 08.08.2019 N Ф09-4767/19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Title"/>
        <w:jc w:val="center"/>
        <w:outlineLvl w:val="0"/>
      </w:pPr>
      <w:r>
        <w:t>Заказчикам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  <w:outlineLvl w:val="1"/>
      </w:pPr>
      <w:r>
        <w:rPr>
          <w:b/>
        </w:rPr>
        <w:t>Не копируйте в техзадание требования ГОСТов к химсоставу и компонентам товара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>При подготовке техзадания в него часто копируют все требования того или иного ГОСТа. В их числе оказываются требования: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>- к химическому составу;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>- компонентам товара;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>- технологии производства;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>- показателям, значения которых известны лишь при испытании товара после его производства.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 xml:space="preserve">ФАС </w:t>
      </w:r>
      <w:hyperlink r:id="rId11" w:history="1">
        <w:r>
          <w:rPr>
            <w:color w:val="0000FF"/>
          </w:rPr>
          <w:t>указывала</w:t>
        </w:r>
      </w:hyperlink>
      <w:r>
        <w:t>, что включать в техзадание подобные требования недопустимо. Нередко эту позицию разделяют и суды.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>Так, в одном из дел в требованиях к эмали заказчик воспроизвел положения ГОСТа, в том числе показатели, которые становятся известными только после испытания конкретной партии товара. УФАС признало это нарушением. АС Западно-Сибирского округа поддержал УФАС.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 xml:space="preserve">Отметим, что есть и противоположная практика. АС Московского округа в недавнем споре </w:t>
      </w:r>
      <w:hyperlink r:id="rId12" w:history="1">
        <w:r>
          <w:rPr>
            <w:color w:val="0000FF"/>
          </w:rPr>
          <w:t>поддержал</w:t>
        </w:r>
      </w:hyperlink>
      <w:r>
        <w:t xml:space="preserve"> заказчика, не увидев нарушений в том, что тот процитировал ГОСТ, включая положения о химическом составе товара.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3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Западно-Сибирского округа от 08.08.2019 по делу N А75-7322/2018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  <w:outlineLvl w:val="1"/>
      </w:pPr>
      <w:r>
        <w:rPr>
          <w:b/>
        </w:rPr>
        <w:t>Начисляйте неустойку на всю сумму контракта, если результат частично выполненных работ использовать нельзя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>При оплате контракта заказчик удержал неустойку за просрочку его исполнения. Подрядчик оспорил ее размер: заказчик начислил неустойку на всю сумму контракта, хотя часть работ была сдана вовремя.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 xml:space="preserve">Суды поддержали заказчика. Цель работ по контракту - </w:t>
      </w:r>
      <w:hyperlink r:id="rId14" w:history="1">
        <w:r>
          <w:rPr>
            <w:color w:val="0000FF"/>
          </w:rPr>
          <w:t>подготовить помещения</w:t>
        </w:r>
      </w:hyperlink>
      <w:r>
        <w:t xml:space="preserve"> для установки в них медицинского оборудования. Этого можно достичь только при условии полного исполнения контракта. Частично выполненные работы ценности для заказчика не имеют.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 xml:space="preserve">Суды руководствовались позицией Верховного Суда, которая касалась поставки товаров. Он </w:t>
      </w:r>
      <w:hyperlink r:id="rId15" w:history="1">
        <w:r>
          <w:rPr>
            <w:color w:val="0000FF"/>
          </w:rPr>
          <w:t>указывал</w:t>
        </w:r>
      </w:hyperlink>
      <w:r>
        <w:t xml:space="preserve"> на необходимость установить, может ли заказчик отдельно использовать поставленную часть товара с учетом цели закупки.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6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Волго-Вятского округа от 31.05.2019 по делу N А29-8956/2018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  <w:outlineLvl w:val="1"/>
      </w:pPr>
      <w:r>
        <w:rPr>
          <w:b/>
        </w:rPr>
        <w:t>Ничего не возмещайте победителю, если правомерно отказались заключить с ним контракт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>Победитель аукциона оформил банковскую гарантию, предварительно согласовав ее текст с заказчиком, и направил ему подписанный контракт.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>Заказчик отказался его подписывать. Он обнаружил, что победитель представил в заявке недостоверные сведения о своем соответствии требованиям к участникам закупки.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>Победитель потребовал от заказчика возместить сумму, уплаченную за банковскую гарантию, поскольку: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>- заявку должны были отклонить;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>- заявку не отклонили из-за ненадлежащей работы аукционной комиссии (в подтверждение компания представила решение УФАС);</w:t>
      </w:r>
    </w:p>
    <w:p w:rsidR="00BA5FF4" w:rsidRDefault="00BA5FF4">
      <w:pPr>
        <w:pStyle w:val="ConsPlusNormal"/>
        <w:spacing w:before="220"/>
        <w:ind w:firstLine="540"/>
        <w:jc w:val="both"/>
      </w:pPr>
      <w:r>
        <w:t>- компания, основываясь на положительном решении комиссии, потратилась на банковскую гарантию для заключения контракта. Если бы комиссия действовала профессионально, этих расходов бы не было.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t xml:space="preserve">Суды трех инстанций отказали компании. Участник закупки </w:t>
      </w:r>
      <w:hyperlink r:id="rId17" w:history="1">
        <w:r>
          <w:rPr>
            <w:color w:val="0000FF"/>
          </w:rPr>
          <w:t>обязан оформить</w:t>
        </w:r>
      </w:hyperlink>
      <w:r>
        <w:t xml:space="preserve"> заявку таким образом, чтобы впоследствии решение о его допуске не было отменено.</w:t>
      </w: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8" w:history="1">
        <w:r>
          <w:rPr>
            <w:i/>
            <w:color w:val="0000FF"/>
          </w:rPr>
          <w:t>Постановление</w:t>
        </w:r>
      </w:hyperlink>
      <w:r>
        <w:rPr>
          <w:i/>
        </w:rPr>
        <w:t xml:space="preserve"> АС Западно-Сибирского округа от 09.08.2019 по делу N А45-745/2019</w:t>
      </w:r>
    </w:p>
    <w:p w:rsidR="00BA5FF4" w:rsidRDefault="00BA5FF4">
      <w:pPr>
        <w:pStyle w:val="ConsPlusNormal"/>
      </w:pPr>
    </w:p>
    <w:p w:rsidR="00BA5FF4" w:rsidRDefault="00BA5FF4">
      <w:pPr>
        <w:pStyle w:val="ConsPlusNormal"/>
        <w:ind w:firstLine="540"/>
        <w:jc w:val="both"/>
      </w:pPr>
    </w:p>
    <w:p w:rsidR="00BA5FF4" w:rsidRDefault="00BA5F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16F5" w:rsidRDefault="006B16F5">
      <w:bookmarkStart w:id="0" w:name="_GoBack"/>
      <w:bookmarkEnd w:id="0"/>
    </w:p>
    <w:sectPr w:rsidR="006B16F5" w:rsidSect="0005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4"/>
    <w:rsid w:val="006B16F5"/>
    <w:rsid w:val="00B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5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5F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C64265E1918E083F1465A5FC9D69D6FFC74B3D323B6557E5CCF82D9CB7321C601C24ABCE1358C096A1247163891989193B9D65EC317A1oBQFL" TargetMode="External"/><Relationship Id="rId13" Type="http://schemas.openxmlformats.org/officeDocument/2006/relationships/hyperlink" Target="consultantplus://offline/ref=EEEC64265E1918E083F146565FC9D69D6FF979B1D620B6557E5CCF82D9CB7321C601C24ABCE1358A016A1247163891989193B9D65EC317A1oBQFL" TargetMode="External"/><Relationship Id="rId18" Type="http://schemas.openxmlformats.org/officeDocument/2006/relationships/hyperlink" Target="consultantplus://offline/ref=EEEC64265E1918E083F146565FC9D69D6FF979B2D422B6557E5CCF82D9CB7321C601C24ABCE1358D0B6A1247163891989193B9D65EC317A1oBQ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C64265E1918E083F1594D5BC9D69D6DFE75B1D52DB6557E5CCF82D9CB7321C601C24ABEE23EDD5825131B536D82999393BBD442oCQ1L" TargetMode="External"/><Relationship Id="rId12" Type="http://schemas.openxmlformats.org/officeDocument/2006/relationships/hyperlink" Target="consultantplus://offline/ref=EEEC64265E1918E083F146415FC9D69D6DFE79B0D322B6557E5CCF82D9CB7321C601C24ABCE1358D0F6A1247163891989193B9D65EC317A1oBQFL" TargetMode="External"/><Relationship Id="rId17" Type="http://schemas.openxmlformats.org/officeDocument/2006/relationships/hyperlink" Target="consultantplus://offline/ref=EEEC64265E1918E083F146565FC9D69D6FF979B2D422B6557E5CCF82D9CB7321C601C24ABCE1358D0A6A1247163891989193B9D65EC317A1oBQ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EEC64265E1918E083F1465A5AC9D69D66F475B5D02EEB5F7605C380DEC42C36C148CE4BBCE1338B0235175207609D998F8DBBCA42C115oAQ3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FBDFF1A4FBFDAD2BACDF36E028731EA9976829A2B1704281BDAD18A649C663ADFBDFE95A904ED085D697552DF449BC96FFEBCC7792A99EnFQ4L" TargetMode="External"/><Relationship Id="rId11" Type="http://schemas.openxmlformats.org/officeDocument/2006/relationships/hyperlink" Target="consultantplus://offline/ref=EEEC64265E1918E083F1594D5BC9D69D6CFC72B2D221B6557E5CCF82D9CB7321C601C24ABCE13588016A1247163891989193B9D65EC317A1oBQF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EEC64265E1918E083F1545E4EC9D69D6BFC72BBD22CB6557E5CCF82D9CB7321C601C24ABCE1358D0A6A1247163891989193B9D65EC317A1oBQFL" TargetMode="External"/><Relationship Id="rId10" Type="http://schemas.openxmlformats.org/officeDocument/2006/relationships/hyperlink" Target="consultantplus://offline/ref=EEEC64265E1918E083F146595EC9D69D6CFC74B1D627B6557E5CCF82D9CB7321C601C24ABCE1358C086A1247163891989193B9D65EC317A1oBQF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EC64265E1918E083F1465A5FC9D69D6FFC74B3D323B6557E5CCF82D9CB7321C601C24ABCE1358D0E6A1247163891989193B9D65EC317A1oBQFL" TargetMode="External"/><Relationship Id="rId14" Type="http://schemas.openxmlformats.org/officeDocument/2006/relationships/hyperlink" Target="consultantplus://offline/ref=EEEC64265E1918E083F1474D5CA188906CF72FBEDA27B506270394DF8EC27976814E9B08F8EC3489096141165939CDDDC480B8D45EC115BDBD4630oAQ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2020-02-10T11:16:00Z</dcterms:created>
  <dcterms:modified xsi:type="dcterms:W3CDTF">2020-02-10T11:16:00Z</dcterms:modified>
</cp:coreProperties>
</file>