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5E" w:rsidRDefault="005F3E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3E5E" w:rsidRDefault="005F3E5E">
      <w:pPr>
        <w:pStyle w:val="ConsPlusNormal"/>
        <w:jc w:val="both"/>
        <w:outlineLvl w:val="0"/>
      </w:pPr>
    </w:p>
    <w:p w:rsidR="005F3E5E" w:rsidRDefault="005F3E5E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Title"/>
        <w:jc w:val="center"/>
      </w:pPr>
      <w:r>
        <w:t>ОБЕСПЕЧЕНИЕ ГАРАНТИЙНЫХ ОБЯЗАТЕЛЬСТВ ПО ГОСКОНТРАКТУ:</w:t>
      </w:r>
    </w:p>
    <w:p w:rsidR="005F3E5E" w:rsidRDefault="005F3E5E">
      <w:pPr>
        <w:pStyle w:val="ConsPlusTitle"/>
        <w:jc w:val="center"/>
      </w:pPr>
      <w:r>
        <w:t>ПОЛЕЗНЫЕ ВЫВОДЫ ИЗ ПРАКТИКИ КОНТРОЛЕРОВ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5F3E5E" w:rsidRDefault="005F3E5E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31.01.2020.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Законом</w:t>
        </w:r>
      </w:hyperlink>
      <w:r>
        <w:t xml:space="preserve"> N 44-ФЗ урегулированы не все вопросы обеспечения гарантийных обязательств. Расскажем, опираясь на практику антимонопольных органов, когда нужно требовать обеспечение гарантийных обязательств и какие моменты важно учесть в проекте контракта.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Title"/>
        <w:ind w:firstLine="540"/>
        <w:jc w:val="both"/>
        <w:outlineLvl w:val="0"/>
      </w:pPr>
      <w:r>
        <w:t>В каких случаях надо требовать обеспечение гарантийных обязательств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Normal"/>
        <w:ind w:firstLine="540"/>
        <w:jc w:val="both"/>
      </w:pPr>
      <w:r>
        <w:t xml:space="preserve">Если в документации заказчик установил требования к гарантийным обязательствам, он </w:t>
      </w:r>
      <w:hyperlink r:id="rId7" w:history="1">
        <w:r>
          <w:rPr>
            <w:color w:val="0000FF"/>
          </w:rPr>
          <w:t>должен запросить</w:t>
        </w:r>
      </w:hyperlink>
      <w:r>
        <w:t xml:space="preserve"> их обеспечение. Это подтверждает практика контрольных органов, например </w:t>
      </w:r>
      <w:hyperlink r:id="rId8" w:history="1">
        <w:r>
          <w:rPr>
            <w:color w:val="0000FF"/>
          </w:rPr>
          <w:t>Марийского</w:t>
        </w:r>
      </w:hyperlink>
      <w:r>
        <w:t xml:space="preserve">, </w:t>
      </w:r>
      <w:hyperlink r:id="rId9" w:history="1">
        <w:r>
          <w:rPr>
            <w:color w:val="0000FF"/>
          </w:rPr>
          <w:t>Санкт-Петербургского</w:t>
        </w:r>
      </w:hyperlink>
      <w:r>
        <w:t xml:space="preserve">, </w:t>
      </w:r>
      <w:hyperlink r:id="rId10" w:history="1">
        <w:r>
          <w:rPr>
            <w:color w:val="0000FF"/>
          </w:rPr>
          <w:t>Чувашского</w:t>
        </w:r>
      </w:hyperlink>
      <w:r>
        <w:t xml:space="preserve">, </w:t>
      </w:r>
      <w:hyperlink r:id="rId11" w:history="1">
        <w:r>
          <w:rPr>
            <w:color w:val="0000FF"/>
          </w:rPr>
          <w:t>Московского</w:t>
        </w:r>
      </w:hyperlink>
      <w:r>
        <w:t xml:space="preserve"> УФАС. К аналогичному </w:t>
      </w:r>
      <w:hyperlink r:id="rId12" w:history="1">
        <w:r>
          <w:rPr>
            <w:color w:val="0000FF"/>
          </w:rPr>
          <w:t>выводу</w:t>
        </w:r>
      </w:hyperlink>
      <w:r>
        <w:t xml:space="preserve"> пришла ФАС.</w:t>
      </w:r>
    </w:p>
    <w:p w:rsidR="005F3E5E" w:rsidRDefault="005F3E5E">
      <w:pPr>
        <w:pStyle w:val="ConsPlusNormal"/>
        <w:spacing w:before="220"/>
        <w:ind w:firstLine="540"/>
        <w:jc w:val="both"/>
      </w:pPr>
      <w:r>
        <w:t xml:space="preserve">Требования к гарантийным обязательствам </w:t>
      </w:r>
      <w:hyperlink r:id="rId13" w:history="1">
        <w:r>
          <w:rPr>
            <w:color w:val="0000FF"/>
          </w:rPr>
          <w:t>нужно предусмотреть</w:t>
        </w:r>
      </w:hyperlink>
      <w:r>
        <w:t xml:space="preserve"> при закупке машин и оборудования. В остальных случаях это право заказчика. Если он не установил требования к гарантийным обязательствам, их обеспечение также не нужно требовать. Так решили </w:t>
      </w:r>
      <w:hyperlink r:id="rId14" w:history="1">
        <w:r>
          <w:rPr>
            <w:color w:val="0000FF"/>
          </w:rPr>
          <w:t>Тюменское</w:t>
        </w:r>
      </w:hyperlink>
      <w:r>
        <w:t xml:space="preserve">, </w:t>
      </w:r>
      <w:hyperlink r:id="rId15" w:history="1">
        <w:r>
          <w:rPr>
            <w:color w:val="0000FF"/>
          </w:rPr>
          <w:t>Курское</w:t>
        </w:r>
      </w:hyperlink>
      <w:r>
        <w:t xml:space="preserve">, </w:t>
      </w:r>
      <w:hyperlink r:id="rId16" w:history="1">
        <w:r>
          <w:rPr>
            <w:color w:val="0000FF"/>
          </w:rPr>
          <w:t>Московское</w:t>
        </w:r>
      </w:hyperlink>
      <w:r>
        <w:t xml:space="preserve">, </w:t>
      </w:r>
      <w:hyperlink r:id="rId17" w:history="1">
        <w:r>
          <w:rPr>
            <w:color w:val="0000FF"/>
          </w:rPr>
          <w:t>Санкт-Петербургское</w:t>
        </w:r>
      </w:hyperlink>
      <w:r>
        <w:t xml:space="preserve"> УФАС.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Title"/>
        <w:ind w:firstLine="540"/>
        <w:jc w:val="both"/>
        <w:outlineLvl w:val="0"/>
      </w:pPr>
      <w:r>
        <w:t>Порядок и срок внесения обеспечения гарантийных обязательств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Normal"/>
        <w:ind w:firstLine="540"/>
        <w:jc w:val="both"/>
      </w:pPr>
      <w:r>
        <w:t xml:space="preserve">В проекте контракта </w:t>
      </w:r>
      <w:hyperlink r:id="rId18" w:history="1">
        <w:r>
          <w:rPr>
            <w:color w:val="0000FF"/>
          </w:rPr>
          <w:t>нужно установить</w:t>
        </w:r>
      </w:hyperlink>
      <w:r>
        <w:t xml:space="preserve"> порядок и срок предоставления обеспечения гарантийных обязательств, если оно предусмотрено закупкой. Отсутствие хотя бы одного из этих условий контрольные органы посчитают нарушением.</w:t>
      </w:r>
    </w:p>
    <w:p w:rsidR="005F3E5E" w:rsidRDefault="005F3E5E">
      <w:pPr>
        <w:pStyle w:val="ConsPlusNormal"/>
        <w:spacing w:before="220"/>
        <w:ind w:firstLine="540"/>
        <w:jc w:val="both"/>
      </w:pPr>
      <w:r>
        <w:t xml:space="preserve">Так, Мордовское УФАС </w:t>
      </w:r>
      <w:hyperlink r:id="rId19" w:history="1">
        <w:r>
          <w:rPr>
            <w:color w:val="0000FF"/>
          </w:rPr>
          <w:t>наказало</w:t>
        </w:r>
      </w:hyperlink>
      <w:r>
        <w:t xml:space="preserve"> заказчика за то, что в проекте контракта он не указал срок предоставления обеспечения гарантийных обязательств, хотя установил порядок его предоставления. Аналогичное </w:t>
      </w:r>
      <w:hyperlink r:id="rId20" w:history="1">
        <w:r>
          <w:rPr>
            <w:color w:val="0000FF"/>
          </w:rPr>
          <w:t>решение</w:t>
        </w:r>
      </w:hyperlink>
      <w:r>
        <w:t xml:space="preserve"> приняла ФАС.</w:t>
      </w:r>
    </w:p>
    <w:p w:rsidR="005F3E5E" w:rsidRDefault="005F3E5E">
      <w:pPr>
        <w:pStyle w:val="ConsPlusNormal"/>
        <w:spacing w:before="220"/>
        <w:ind w:firstLine="540"/>
        <w:jc w:val="both"/>
      </w:pPr>
      <w:r>
        <w:t xml:space="preserve">Обратите внимание, что </w:t>
      </w:r>
      <w:proofErr w:type="gramStart"/>
      <w:r>
        <w:t>проверяющие</w:t>
      </w:r>
      <w:proofErr w:type="gramEnd"/>
      <w:r>
        <w:t xml:space="preserve"> посчитали недостаточной общую фразу: "Обеспечение гарантийных обязатель</w:t>
      </w:r>
      <w:proofErr w:type="gramStart"/>
      <w:r>
        <w:t>ств пр</w:t>
      </w:r>
      <w:proofErr w:type="gramEnd"/>
      <w:r>
        <w:t>едоставляется Подрядчиком до подписания Заказчиком акта приемки законченного (завершенного) строительством объекта". Установите конкретный срок, чтобы соблюсти требования Закона N 44-ФЗ.</w:t>
      </w:r>
    </w:p>
    <w:p w:rsidR="005F3E5E" w:rsidRDefault="005F3E5E">
      <w:pPr>
        <w:pStyle w:val="ConsPlusNormal"/>
        <w:spacing w:before="220"/>
        <w:ind w:firstLine="540"/>
        <w:jc w:val="both"/>
      </w:pPr>
      <w:r>
        <w:t xml:space="preserve">В другом случае контрольный орган </w:t>
      </w:r>
      <w:hyperlink r:id="rId21" w:history="1">
        <w:r>
          <w:rPr>
            <w:color w:val="0000FF"/>
          </w:rPr>
          <w:t>признал нарушением</w:t>
        </w:r>
      </w:hyperlink>
      <w:r>
        <w:t xml:space="preserve"> отсутствие условий о порядке и сроке предоставления такого обеспечения в проекте контракта.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Title"/>
        <w:ind w:firstLine="540"/>
        <w:jc w:val="both"/>
        <w:outlineLvl w:val="0"/>
      </w:pPr>
      <w:r>
        <w:t>Срок действия банковской гарантии, предоставленной в обеспечение гарантийных обязательств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Normal"/>
        <w:ind w:firstLine="540"/>
        <w:jc w:val="both"/>
      </w:pPr>
      <w:r>
        <w:t xml:space="preserve">По </w:t>
      </w:r>
      <w:hyperlink r:id="rId22" w:history="1">
        <w:r>
          <w:rPr>
            <w:color w:val="0000FF"/>
          </w:rPr>
          <w:t>мнению</w:t>
        </w:r>
      </w:hyperlink>
      <w:r>
        <w:t xml:space="preserve"> Минфина, определять этот срок нужно по правилам, предусмотренным для срока действия обеспечения исполнения контракта. Он должен превышать срок исполнения гарантийных обязательств не менее чем на один месяц. Соответствующее </w:t>
      </w:r>
      <w:hyperlink r:id="rId23" w:history="1">
        <w:r>
          <w:rPr>
            <w:color w:val="0000FF"/>
          </w:rPr>
          <w:t>решение</w:t>
        </w:r>
      </w:hyperlink>
      <w:r>
        <w:t xml:space="preserve"> приняла и ФАС.</w:t>
      </w:r>
    </w:p>
    <w:p w:rsidR="005F3E5E" w:rsidRDefault="005F3E5E">
      <w:pPr>
        <w:pStyle w:val="ConsPlusNormal"/>
        <w:spacing w:before="220"/>
        <w:ind w:firstLine="540"/>
        <w:jc w:val="both"/>
      </w:pPr>
      <w:r>
        <w:t xml:space="preserve">Отметим, </w:t>
      </w:r>
      <w:proofErr w:type="gramStart"/>
      <w:r>
        <w:t>Камчатское</w:t>
      </w:r>
      <w:proofErr w:type="gramEnd"/>
      <w:r>
        <w:t xml:space="preserve"> УФАС </w:t>
      </w:r>
      <w:hyperlink r:id="rId24" w:history="1">
        <w:r>
          <w:rPr>
            <w:color w:val="0000FF"/>
          </w:rPr>
          <w:t>приравняло</w:t>
        </w:r>
      </w:hyperlink>
      <w:r>
        <w:t xml:space="preserve"> понятия "срок исполнения обязательств" к понятию </w:t>
      </w:r>
      <w:r>
        <w:lastRenderedPageBreak/>
        <w:t xml:space="preserve">"срок действия контракта". Тем не </w:t>
      </w:r>
      <w:proofErr w:type="gramStart"/>
      <w:r>
        <w:t>менее</w:t>
      </w:r>
      <w:proofErr w:type="gramEnd"/>
      <w:r>
        <w:t xml:space="preserve"> рекомендуем устанавливать требования к сроку действия обеспечения гарантийных обязательств на основании гарантийного срока, так как он </w:t>
      </w:r>
      <w:hyperlink r:id="rId25" w:history="1">
        <w:r>
          <w:rPr>
            <w:color w:val="0000FF"/>
          </w:rPr>
          <w:t>не всегда совпадает</w:t>
        </w:r>
      </w:hyperlink>
      <w:r>
        <w:t xml:space="preserve"> со сроком действия контракта.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Title"/>
        <w:ind w:firstLine="540"/>
        <w:jc w:val="both"/>
        <w:outlineLvl w:val="0"/>
      </w:pPr>
      <w:r>
        <w:t>Срок возврата денежного обеспечения гарантийных обязательств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Normal"/>
        <w:ind w:firstLine="540"/>
        <w:jc w:val="both"/>
      </w:pPr>
      <w:r>
        <w:t xml:space="preserve">По аналогии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, предусмотренными для обеспечения исполнения контракта, заказчик должен вернуть денежные средства, предоставленные в качестве обеспечения гарантийных обязательств, в течение 30 дней с даты их исполнения (15 дней, если закупка проводилась только у СМП). Такого </w:t>
      </w:r>
      <w:hyperlink r:id="rId27" w:history="1">
        <w:r>
          <w:rPr>
            <w:color w:val="0000FF"/>
          </w:rPr>
          <w:t>мнения</w:t>
        </w:r>
      </w:hyperlink>
      <w:r>
        <w:t xml:space="preserve"> придерживается Минфин. Эту позицию подтверждает </w:t>
      </w:r>
      <w:hyperlink r:id="rId28" w:history="1">
        <w:r>
          <w:rPr>
            <w:color w:val="0000FF"/>
          </w:rPr>
          <w:t>практика</w:t>
        </w:r>
      </w:hyperlink>
      <w:r>
        <w:t xml:space="preserve"> ФАС.</w:t>
      </w:r>
    </w:p>
    <w:p w:rsidR="005F3E5E" w:rsidRDefault="005F3E5E">
      <w:pPr>
        <w:pStyle w:val="ConsPlusNormal"/>
        <w:spacing w:before="220"/>
        <w:ind w:firstLine="540"/>
        <w:jc w:val="both"/>
      </w:pPr>
      <w:r>
        <w:t xml:space="preserve">Отметим, ФАС </w:t>
      </w:r>
      <w:hyperlink r:id="rId29" w:history="1">
        <w:r>
          <w:rPr>
            <w:color w:val="0000FF"/>
          </w:rPr>
          <w:t>признала неправомерными</w:t>
        </w:r>
      </w:hyperlink>
      <w:r>
        <w:t xml:space="preserve"> действия заказчика, который установил в проекте контракта срок в 30 банковских дней, так как он не соответствует </w:t>
      </w:r>
      <w:hyperlink r:id="rId30" w:history="1">
        <w:r>
          <w:rPr>
            <w:color w:val="0000FF"/>
          </w:rPr>
          <w:t>Закону</w:t>
        </w:r>
      </w:hyperlink>
      <w:r>
        <w:t xml:space="preserve"> N 44-ФЗ.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Title"/>
        <w:ind w:firstLine="540"/>
        <w:jc w:val="both"/>
        <w:outlineLvl w:val="0"/>
      </w:pPr>
      <w:r>
        <w:t>Можно ли уменьшить размер обеспечения гарантийных обязательств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Normal"/>
        <w:ind w:firstLine="540"/>
        <w:jc w:val="both"/>
      </w:pPr>
      <w:r>
        <w:t xml:space="preserve">По </w:t>
      </w:r>
      <w:hyperlink r:id="rId31" w:history="1">
        <w:r>
          <w:rPr>
            <w:color w:val="0000FF"/>
          </w:rPr>
          <w:t>мнению</w:t>
        </w:r>
      </w:hyperlink>
      <w:r>
        <w:t xml:space="preserve"> Минфина, размер обеспечения гарантийных обязательств нельзя уменьшить в связи с частичным исполнением контракта. К аналогичному </w:t>
      </w:r>
      <w:hyperlink r:id="rId32" w:history="1">
        <w:r>
          <w:rPr>
            <w:color w:val="0000FF"/>
          </w:rPr>
          <w:t>выводу</w:t>
        </w:r>
      </w:hyperlink>
      <w:r>
        <w:t xml:space="preserve"> пришла ФАС, посчитав необоснованной жалобу на отсутствие такого положения в проекте контракта.</w:t>
      </w:r>
    </w:p>
    <w:p w:rsidR="005F3E5E" w:rsidRDefault="005F3E5E">
      <w:pPr>
        <w:pStyle w:val="ConsPlusNormal"/>
        <w:ind w:firstLine="540"/>
        <w:jc w:val="both"/>
      </w:pPr>
    </w:p>
    <w:p w:rsidR="005F3E5E" w:rsidRDefault="005F3E5E">
      <w:pPr>
        <w:pStyle w:val="ConsPlusNormal"/>
        <w:ind w:firstLine="540"/>
        <w:jc w:val="both"/>
      </w:pPr>
      <w:r>
        <w:t xml:space="preserve">Рекомендуем: </w:t>
      </w:r>
      <w:hyperlink r:id="rId33" w:history="1">
        <w:r>
          <w:rPr>
            <w:i/>
            <w:color w:val="0000FF"/>
          </w:rPr>
          <w:t>Как установить обеспечение гарантийных обязатель</w:t>
        </w:r>
        <w:proofErr w:type="gramStart"/>
        <w:r>
          <w:rPr>
            <w:i/>
            <w:color w:val="0000FF"/>
          </w:rPr>
          <w:t>ств в пр</w:t>
        </w:r>
        <w:proofErr w:type="gramEnd"/>
        <w:r>
          <w:rPr>
            <w:i/>
            <w:color w:val="0000FF"/>
          </w:rPr>
          <w:t>оекте госконтракта</w:t>
        </w:r>
      </w:hyperlink>
    </w:p>
    <w:p w:rsidR="005F3E5E" w:rsidRDefault="005F3E5E">
      <w:pPr>
        <w:pStyle w:val="ConsPlusNormal"/>
        <w:jc w:val="both"/>
      </w:pPr>
    </w:p>
    <w:p w:rsidR="005F3E5E" w:rsidRDefault="005F3E5E">
      <w:pPr>
        <w:pStyle w:val="ConsPlusNormal"/>
        <w:jc w:val="both"/>
      </w:pPr>
    </w:p>
    <w:p w:rsidR="005F3E5E" w:rsidRDefault="005F3E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4C1" w:rsidRDefault="008744C1">
      <w:bookmarkStart w:id="0" w:name="_GoBack"/>
      <w:bookmarkEnd w:id="0"/>
    </w:p>
    <w:sectPr w:rsidR="008744C1" w:rsidSect="003F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5E"/>
    <w:rsid w:val="005F3E5E"/>
    <w:rsid w:val="008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0BA2C05C588554F94A9A077269FFD9ED83940F21C3BE55741C865C2FA28B3FCF9BD486B240754CC4E73E18A540F2C9F548BE7D1030833a2f4M" TargetMode="External"/><Relationship Id="rId13" Type="http://schemas.openxmlformats.org/officeDocument/2006/relationships/hyperlink" Target="consultantplus://offline/ref=44B0BA2C05C588554F94B5A073269FFD98DB3844F2193BE55741C865C2FA28B3FCF9BD486924015D911463E5C30302309F4E95E1CF03a0f8M" TargetMode="External"/><Relationship Id="rId18" Type="http://schemas.openxmlformats.org/officeDocument/2006/relationships/hyperlink" Target="consultantplus://offline/ref=44B0BA2C05C588554F94B5A073269FFD98DB3844F2193BE55741C865C2FA28B3FCF9BD48682C005D911463E5C30302309F4E95E1CF03a0f8M" TargetMode="External"/><Relationship Id="rId26" Type="http://schemas.openxmlformats.org/officeDocument/2006/relationships/hyperlink" Target="consultantplus://offline/ref=44B0BA2C05C588554F94B5A073269FFD98DB3844F2193BE55741C865C2FA28B3FCF9BD486925075D911463E5C30302309F4E95E1CF03a0f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B0BA2C05C588554F94A9A077269FFD9ED63841F9113BE55741C865C2FA28B3FCF9BD486B240755C24E73E18A540F2C9F548BE7D1030833a2f4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4B0BA2C05C588554F94B5A073269FFD98DB3844F2193BE55741C865C2FA28B3FCF9BD486826025D911463E5C30302309F4E95E1CF03a0f8M" TargetMode="External"/><Relationship Id="rId12" Type="http://schemas.openxmlformats.org/officeDocument/2006/relationships/hyperlink" Target="consultantplus://offline/ref=44B0BA2C05C588554F94ABA6774ECAAE96DB3346F2183BE55741C865C2FA28B3FCF9BD486B240752C24E73E18A540F2C9F548BE7D1030833a2f4M" TargetMode="External"/><Relationship Id="rId17" Type="http://schemas.openxmlformats.org/officeDocument/2006/relationships/hyperlink" Target="consultantplus://offline/ref=44B0BA2C05C588554F94A9A077269FFD9DDF3241F9183BE55741C865C2FA28B3FCF9BD486B240754C54E73E18A540F2C9F548BE7D1030833a2f4M" TargetMode="External"/><Relationship Id="rId25" Type="http://schemas.openxmlformats.org/officeDocument/2006/relationships/hyperlink" Target="consultantplus://offline/ref=44B0BA2C05C588554F94ABA6774ECAAE96DB3345FD113BE55741C865C2FA28B3FCF9BD486B240753C44E73E18A540F2C9F548BE7D1030833a2f4M" TargetMode="External"/><Relationship Id="rId33" Type="http://schemas.openxmlformats.org/officeDocument/2006/relationships/hyperlink" Target="consultantplus://offline/ref=44B0BA2C05C588554F94A9AA6652CAAE96DC3841FB193BE55741C865C2FA28B3FCF9BD486B240751C04E73E18A540F2C9F548BE7D1030833a2f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B0BA2C05C588554F94A9A077269FFD9ED73245FB193BE55741C865C2FA28B3FCF9BD486B240750C24E73E18A540F2C9F548BE7D1030833a2f4M" TargetMode="External"/><Relationship Id="rId20" Type="http://schemas.openxmlformats.org/officeDocument/2006/relationships/hyperlink" Target="consultantplus://offline/ref=44B0BA2C05C588554F94ABA6774ECAAE96DA3B45F21F3BE55741C865C2FA28B3FCF9BD486B240750C14E73E18A540F2C9F548BE7D1030833a2f4M" TargetMode="External"/><Relationship Id="rId29" Type="http://schemas.openxmlformats.org/officeDocument/2006/relationships/hyperlink" Target="consultantplus://offline/ref=44B0BA2C05C588554F94ABA6774ECAAE96DA3B45F21F3BE55741C865C2FA28B3FCF9BD486B24075EC54E73E18A540F2C9F548BE7D1030833a2f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0BA2C05C588554F94B5A073269FFD98DB3844F2193BE55741C865C2FA28B3EEF9E54469241956C15B25B0CCa0f1M" TargetMode="External"/><Relationship Id="rId11" Type="http://schemas.openxmlformats.org/officeDocument/2006/relationships/hyperlink" Target="consultantplus://offline/ref=44B0BA2C05C588554F94A9A077269FFD9DDE3E40FA1F3BE55741C865C2FA28B3FCF9BD486B240752C74E73E18A540F2C9F548BE7D1030833a2f4M" TargetMode="External"/><Relationship Id="rId24" Type="http://schemas.openxmlformats.org/officeDocument/2006/relationships/hyperlink" Target="consultantplus://offline/ref=44B0BA2C05C588554F94A9A077269FFD9DDF3940FC1A3BE55741C865C2FA28B3FCF9BD486B240654C34E73E18A540F2C9F548BE7D1030833a2f4M" TargetMode="External"/><Relationship Id="rId32" Type="http://schemas.openxmlformats.org/officeDocument/2006/relationships/hyperlink" Target="consultantplus://offline/ref=44B0BA2C05C588554F94ABA6774ECAAE96DA3A45F21F3BE55741C865C2FA28B3FCF9BD486B240750C54E73E18A540F2C9F548BE7D1030833a2f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4B0BA2C05C588554F94A9A077269FFD9ED93240FF183BE55741C865C2FA28B3FCF9BD486B240751C74E73E18A540F2C9F548BE7D1030833a2f4M" TargetMode="External"/><Relationship Id="rId23" Type="http://schemas.openxmlformats.org/officeDocument/2006/relationships/hyperlink" Target="consultantplus://offline/ref=44B0BA2C05C588554F94ABA6774ECAAE96DB3345FD113BE55741C865C2FA28B3FCF9BD486B240753C74E73E18A540F2C9F548BE7D1030833a2f4M" TargetMode="External"/><Relationship Id="rId28" Type="http://schemas.openxmlformats.org/officeDocument/2006/relationships/hyperlink" Target="consultantplus://offline/ref=44B0BA2C05C588554F94ABA6774ECAAE96DA3B45F3113BE55741C865C2FA28B3FCF9BD486B240752C14E73E18A540F2C9F548BE7D1030833a2f4M" TargetMode="External"/><Relationship Id="rId10" Type="http://schemas.openxmlformats.org/officeDocument/2006/relationships/hyperlink" Target="consultantplus://offline/ref=44B0BA2C05C588554F94A9A077269FFD9DDE3B47FE1E3BE55741C865C2FA28B3FCF9BD486B24075FC54E73E18A540F2C9F548BE7D1030833a2f4M" TargetMode="External"/><Relationship Id="rId19" Type="http://schemas.openxmlformats.org/officeDocument/2006/relationships/hyperlink" Target="consultantplus://offline/ref=44B0BA2C05C588554F94A9A077269FFD9DDF3B4EFA1A3BE55741C865C2FA28B3FCF9BD486B240753C64E73E18A540F2C9F548BE7D1030833a2f4M" TargetMode="External"/><Relationship Id="rId31" Type="http://schemas.openxmlformats.org/officeDocument/2006/relationships/hyperlink" Target="consultantplus://offline/ref=44B0BA2C05C588554F94A8B4614EA5FBC5D23B4FF31934BA00439930CCFF20E3B4E9F30D66250756C54725BB9A50467B92488BFDCF05163324A1a7f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0BA2C05C588554F94A9A077269FFD9ED73344F8183BE55741C865C2FA28B3FCF9BD486B240751C04E73E18A540F2C9F548BE7D1030833a2f4M" TargetMode="External"/><Relationship Id="rId14" Type="http://schemas.openxmlformats.org/officeDocument/2006/relationships/hyperlink" Target="consultantplus://offline/ref=44B0BA2C05C588554F94A9A077269FFD9ED63845F91D3BE55741C865C2FA28B3FCF9BD486B240754C34E73E18A540F2C9F548BE7D1030833a2f4M" TargetMode="External"/><Relationship Id="rId22" Type="http://schemas.openxmlformats.org/officeDocument/2006/relationships/hyperlink" Target="consultantplus://offline/ref=44B0BA2C05C588554F94A8B4614EA5FBC5D23B4FF31934BA00439930CCFF20E3B4E9F30D66250756C5442FBB9A50467B92488BFDCF05163324A1a7f8M" TargetMode="External"/><Relationship Id="rId27" Type="http://schemas.openxmlformats.org/officeDocument/2006/relationships/hyperlink" Target="consultantplus://offline/ref=44B0BA2C05C588554F94A8B4614EA5FBC5D23B4FF31934BA00439930CCFF20E3B4E9F30D66250756C54727BB9A50467B92488BFDCF05163324A1a7f8M" TargetMode="External"/><Relationship Id="rId30" Type="http://schemas.openxmlformats.org/officeDocument/2006/relationships/hyperlink" Target="consultantplus://offline/ref=44B0BA2C05C588554F94B5A073269FFD98DB3844F2193BE55741C865C2FA28B3EEF9E54469241956C15B25B0CCa0f1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2020-04-20T12:31:00Z</dcterms:created>
  <dcterms:modified xsi:type="dcterms:W3CDTF">2020-04-20T12:31:00Z</dcterms:modified>
</cp:coreProperties>
</file>