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99" w:rsidRDefault="00B05999">
      <w:pPr>
        <w:pStyle w:val="ConsPlusTitlePage"/>
      </w:pPr>
      <w:r>
        <w:t xml:space="preserve">Документ предоставлен </w:t>
      </w:r>
      <w:hyperlink r:id="rId5" w:history="1">
        <w:r>
          <w:rPr>
            <w:color w:val="0000FF"/>
          </w:rPr>
          <w:t>КонсультантПлюс</w:t>
        </w:r>
      </w:hyperlink>
      <w:r>
        <w:br/>
      </w:r>
    </w:p>
    <w:p w:rsidR="00B05999" w:rsidRDefault="00B05999">
      <w:pPr>
        <w:pStyle w:val="ConsPlusNormal"/>
        <w:ind w:firstLine="540"/>
        <w:jc w:val="both"/>
      </w:pPr>
    </w:p>
    <w:p w:rsidR="00B05999" w:rsidRDefault="00B05999">
      <w:pPr>
        <w:pStyle w:val="ConsPlusNormal"/>
        <w:ind w:firstLine="540"/>
        <w:jc w:val="both"/>
      </w:pPr>
      <w:r>
        <w:rPr>
          <w:b/>
        </w:rPr>
        <w:t>Вопрос:</w:t>
      </w:r>
      <w:r>
        <w:t xml:space="preserve"> Включаются ли </w:t>
      </w:r>
      <w:proofErr w:type="gramStart"/>
      <w:r>
        <w:t>в совокупный годовой объем закупок казенного учреждения возмещения по авансовым отчетам подотчетным лицам на приобретение товаров для учреждения за наличный расчет</w:t>
      </w:r>
      <w:proofErr w:type="gramEnd"/>
      <w:r>
        <w:t>?</w:t>
      </w:r>
    </w:p>
    <w:p w:rsidR="00B05999" w:rsidRDefault="00B05999">
      <w:pPr>
        <w:pStyle w:val="ConsPlusNormal"/>
        <w:ind w:firstLine="540"/>
        <w:jc w:val="both"/>
      </w:pPr>
    </w:p>
    <w:p w:rsidR="00B05999" w:rsidRDefault="00B05999">
      <w:pPr>
        <w:pStyle w:val="ConsPlusNormal"/>
        <w:ind w:firstLine="540"/>
        <w:jc w:val="both"/>
      </w:pPr>
      <w:r>
        <w:rPr>
          <w:b/>
        </w:rPr>
        <w:t>Ответ:</w:t>
      </w:r>
      <w:r>
        <w:t xml:space="preserve"> Возмещения по авансовым отчетам подотчетным лицам на приобретение товаров для учреждения за наличный расчет должны быть включены в совокупный годовой объем закупок.</w:t>
      </w:r>
    </w:p>
    <w:p w:rsidR="00B05999" w:rsidRDefault="00B05999">
      <w:pPr>
        <w:pStyle w:val="ConsPlusNormal"/>
        <w:ind w:firstLine="540"/>
        <w:jc w:val="both"/>
      </w:pPr>
    </w:p>
    <w:p w:rsidR="00B05999" w:rsidRDefault="00B05999">
      <w:pPr>
        <w:pStyle w:val="ConsPlusNormal"/>
        <w:ind w:firstLine="540"/>
        <w:jc w:val="both"/>
      </w:pPr>
      <w:r>
        <w:rPr>
          <w:b/>
        </w:rPr>
        <w:t>Обоснование:</w:t>
      </w:r>
      <w:r>
        <w:t xml:space="preserve"> </w:t>
      </w:r>
      <w:proofErr w:type="gramStart"/>
      <w:r>
        <w:t xml:space="preserve">В соответствии с </w:t>
      </w:r>
      <w:hyperlink r:id="rId6" w:history="1">
        <w:r>
          <w:rPr>
            <w:color w:val="0000FF"/>
          </w:rPr>
          <w:t>п. п. 3</w:t>
        </w:r>
      </w:hyperlink>
      <w:r>
        <w:t xml:space="preserve"> и </w:t>
      </w:r>
      <w:hyperlink r:id="rId7" w:history="1">
        <w:r>
          <w:rPr>
            <w:color w:val="0000FF"/>
          </w:rPr>
          <w:t>16 ст. 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для целей данного Закона используются следующие понятия: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w:t>
      </w:r>
      <w:proofErr w:type="gramEnd"/>
      <w:r>
        <w:t xml:space="preserve"> N 44-ФЗ </w:t>
      </w:r>
      <w:proofErr w:type="gramStart"/>
      <w:r>
        <w:t>порядке</w:t>
      </w:r>
      <w:proofErr w:type="gramEnd"/>
      <w:r>
        <w:t xml:space="preserve"> заказчиком и направленных на обеспечение государственных или муниципальных нужд. </w:t>
      </w:r>
      <w:proofErr w:type="gramStart"/>
      <w:r>
        <w:t>Закупка начинается с определения поставщика (подрядчика, исполнителя) и завершается исполнением обязательств сторонами контракта;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Законом N 44-ФЗ, в том числе для оплаты контрактов, заключенных до начала указанного финансового года и подлежащих оплате в указанном финансовом году.</w:t>
      </w:r>
      <w:proofErr w:type="gramEnd"/>
    </w:p>
    <w:p w:rsidR="00B05999" w:rsidRDefault="00B05999">
      <w:pPr>
        <w:pStyle w:val="ConsPlusNormal"/>
        <w:ind w:firstLine="540"/>
        <w:jc w:val="both"/>
      </w:pPr>
      <w:proofErr w:type="gramStart"/>
      <w:r>
        <w:t xml:space="preserve">Как следует из </w:t>
      </w:r>
      <w:hyperlink r:id="rId8" w:history="1">
        <w:r>
          <w:rPr>
            <w:color w:val="0000FF"/>
          </w:rPr>
          <w:t>пп. 6.3 п. 6</w:t>
        </w:r>
      </w:hyperlink>
      <w:r>
        <w:t xml:space="preserve"> Указания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для выдачи наличных денег работнику под отчет (далее - подотчетное лицо) на расходы, связанные с осуществлением деятельности юридического лица, индивидуального предпринимателя, расходный кассовый ордер </w:t>
      </w:r>
      <w:hyperlink r:id="rId9" w:history="1">
        <w:r>
          <w:rPr>
            <w:color w:val="0000FF"/>
          </w:rPr>
          <w:t>0310002</w:t>
        </w:r>
      </w:hyperlink>
      <w:r>
        <w:t xml:space="preserve"> оформляется согласно письменному</w:t>
      </w:r>
      <w:proofErr w:type="gramEnd"/>
      <w:r>
        <w:t xml:space="preserve"> заявлению подотчетного лица, составленному в произвольной форме и содержащему запись о сумме наличных денег и о сроке, на который выдаются наличные деньги, подпись руководителя и дату.</w:t>
      </w:r>
    </w:p>
    <w:p w:rsidR="00B05999" w:rsidRDefault="00B05999">
      <w:pPr>
        <w:pStyle w:val="ConsPlusNormal"/>
        <w:ind w:firstLine="540"/>
        <w:jc w:val="both"/>
      </w:pPr>
      <w:r>
        <w:t>Подотчетное лицо обязано в срок, не превышающий трех рабочих дней после дня истечения срока, на который выданы наличные деньги под отчет, или со дня выхода на работу предъявить главному бухгалтеру или бухгалтеру (при их отсутствии - руководителю) авансовый отчет с прилагаемыми подтверждающими документами. Проверка авансового отчета главным бухгалтером или бухгалтером (при их отсутствии - руководителем), его утверждение руководителем и окончательный расчет по авансовому отчету осуществляются в срок, установленный руководителем.</w:t>
      </w:r>
    </w:p>
    <w:p w:rsidR="00B05999" w:rsidRDefault="00B05999">
      <w:pPr>
        <w:pStyle w:val="ConsPlusNormal"/>
        <w:ind w:firstLine="540"/>
        <w:jc w:val="both"/>
      </w:pPr>
      <w:r>
        <w:t>Выдача наличных денег под отчет проводится при условии полного погашения подотчетным лицом задолженности по ранее полученной под отчет сумме наличных денег.</w:t>
      </w:r>
    </w:p>
    <w:p w:rsidR="00B05999" w:rsidRDefault="00B05999">
      <w:pPr>
        <w:pStyle w:val="ConsPlusNormal"/>
        <w:ind w:firstLine="540"/>
        <w:jc w:val="both"/>
      </w:pPr>
      <w:r>
        <w:t>Как следует из изложенного, в совокупный годовой объем закупок включаются все закупки, направленные на обеспечение государственных или муниципальных нужд, а под отчет в рассматриваемом случае денежные средства выделяются на приобретение товаров для учреждения.</w:t>
      </w:r>
    </w:p>
    <w:p w:rsidR="00B05999" w:rsidRDefault="00B05999">
      <w:pPr>
        <w:pStyle w:val="ConsPlusNormal"/>
        <w:ind w:firstLine="540"/>
        <w:jc w:val="both"/>
      </w:pPr>
      <w:r>
        <w:t>Таким образом, возмещения по авансовым отчетам подотчетным лицам на приобретение товаров для учреждения за наличный расчет должны быть включены в совокупный годовой объем закупок.</w:t>
      </w:r>
    </w:p>
    <w:p w:rsidR="00B05999" w:rsidRDefault="00B05999">
      <w:pPr>
        <w:pStyle w:val="ConsPlusNormal"/>
        <w:ind w:firstLine="540"/>
        <w:jc w:val="both"/>
      </w:pPr>
      <w:r>
        <w:t xml:space="preserve">Дополнительно отметим, что в силу </w:t>
      </w:r>
      <w:hyperlink r:id="rId10" w:history="1">
        <w:r>
          <w:rPr>
            <w:color w:val="0000FF"/>
          </w:rPr>
          <w:t>п. 4 ч. 1 ст. 93</w:t>
        </w:r>
      </w:hyperlink>
      <w:r>
        <w:t xml:space="preserve"> Закона N 44-ФЗ закупка у единственного поставщика (подрядчика, исполнителя) может осуществляться заказчиком на сумму, не превышающую ста тысяч рублей. При этом годовой объем закупок, которые заказчик вправе осуществить на основании данного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B05999" w:rsidRDefault="00B05999">
      <w:pPr>
        <w:pStyle w:val="ConsPlusNormal"/>
        <w:jc w:val="both"/>
      </w:pPr>
    </w:p>
    <w:p w:rsidR="00B05999" w:rsidRDefault="00B05999">
      <w:pPr>
        <w:pStyle w:val="ConsPlusNormal"/>
        <w:jc w:val="right"/>
      </w:pPr>
      <w:r>
        <w:lastRenderedPageBreak/>
        <w:t>Ю.М.Лермонтов</w:t>
      </w:r>
    </w:p>
    <w:p w:rsidR="00B05999" w:rsidRDefault="00B05999">
      <w:pPr>
        <w:pStyle w:val="ConsPlusNormal"/>
        <w:jc w:val="right"/>
      </w:pPr>
      <w:r>
        <w:t>Государственный советник</w:t>
      </w:r>
    </w:p>
    <w:p w:rsidR="00B05999" w:rsidRDefault="00B05999">
      <w:pPr>
        <w:pStyle w:val="ConsPlusNormal"/>
        <w:jc w:val="right"/>
      </w:pPr>
      <w:r>
        <w:t>Российской Федерации</w:t>
      </w:r>
    </w:p>
    <w:p w:rsidR="00B05999" w:rsidRDefault="00B05999">
      <w:pPr>
        <w:pStyle w:val="ConsPlusNormal"/>
        <w:jc w:val="right"/>
      </w:pPr>
      <w:r>
        <w:t>3 класса</w:t>
      </w:r>
    </w:p>
    <w:p w:rsidR="00B05999" w:rsidRDefault="00B05999">
      <w:pPr>
        <w:pStyle w:val="ConsPlusNormal"/>
      </w:pPr>
      <w:r>
        <w:t>08.02.2016</w:t>
      </w:r>
    </w:p>
    <w:p w:rsidR="00B05999" w:rsidRDefault="00B05999">
      <w:pPr>
        <w:pStyle w:val="ConsPlusNormal"/>
        <w:ind w:firstLine="540"/>
        <w:jc w:val="both"/>
      </w:pPr>
    </w:p>
    <w:p w:rsidR="00B05999" w:rsidRDefault="00B05999">
      <w:pPr>
        <w:pStyle w:val="ConsPlusNormal"/>
        <w:ind w:firstLine="540"/>
        <w:jc w:val="both"/>
      </w:pPr>
    </w:p>
    <w:p w:rsidR="00B05999" w:rsidRDefault="00B05999">
      <w:pPr>
        <w:pStyle w:val="ConsPlusNormal"/>
        <w:pBdr>
          <w:top w:val="single" w:sz="6" w:space="0" w:color="auto"/>
        </w:pBdr>
        <w:spacing w:before="100" w:after="100"/>
        <w:jc w:val="both"/>
        <w:rPr>
          <w:sz w:val="2"/>
          <w:szCs w:val="2"/>
        </w:rPr>
      </w:pPr>
    </w:p>
    <w:p w:rsidR="001E05E7" w:rsidRDefault="001E05E7">
      <w:bookmarkStart w:id="0" w:name="_GoBack"/>
      <w:bookmarkEnd w:id="0"/>
    </w:p>
    <w:sectPr w:rsidR="001E05E7" w:rsidSect="00CF3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99"/>
    <w:rsid w:val="001E05E7"/>
    <w:rsid w:val="00B05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9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599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9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599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C3A5804CE67917B52C0874A8EEC34F4CB44E403E8F5969BF9F0DD8CEDC0A3057069BE15C8DC11uAW4H" TargetMode="External"/><Relationship Id="rId3" Type="http://schemas.openxmlformats.org/officeDocument/2006/relationships/settings" Target="settings.xml"/><Relationship Id="rId7" Type="http://schemas.openxmlformats.org/officeDocument/2006/relationships/hyperlink" Target="consultantplus://offline/ref=BD7C3A5804CE67917B52C0874A8EEC34F4C540E404E8F5969BF9F0DD8CEDC0A3057069BE15C9D413uAW4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D7C3A5804CE67917B52C0874A8EEC34F4C540E404E8F5969BF9F0DD8CEDC0A3057069BE15C8DC14uAWCH"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BD7C3A5804CE67917B52C0874A8EEC34F4C540E404E8F5969BF9F0DD8CEDC0A3057069BE15C9D512uAWAH" TargetMode="External"/><Relationship Id="rId4" Type="http://schemas.openxmlformats.org/officeDocument/2006/relationships/webSettings" Target="webSettings.xml"/><Relationship Id="rId9" Type="http://schemas.openxmlformats.org/officeDocument/2006/relationships/hyperlink" Target="consultantplus://offline/ref=BD7C3A5804CE67917B52C0874A8EEC34F7CB43E501E4A89C93A0FCDF8BE29FB4023965BF15C9DFu1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2016-03-11T07:22:00Z</dcterms:created>
  <dcterms:modified xsi:type="dcterms:W3CDTF">2016-03-11T07:23:00Z</dcterms:modified>
</cp:coreProperties>
</file>