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83" w:rsidRDefault="00225B83">
      <w:pPr>
        <w:widowControl w:val="0"/>
        <w:autoSpaceDE w:val="0"/>
        <w:autoSpaceDN w:val="0"/>
        <w:adjustRightInd w:val="0"/>
        <w:spacing w:after="0" w:line="240" w:lineRule="auto"/>
        <w:ind w:firstLine="540"/>
        <w:jc w:val="both"/>
        <w:outlineLvl w:val="0"/>
        <w:rPr>
          <w:rFonts w:ascii="Calibri" w:hAnsi="Calibri" w:cs="Calibri"/>
        </w:rPr>
      </w:pP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Заказчик (орган местного самоуправления) в конкурсной документации предусмотрел, что победителю открытого конкурса в течение пяти дней после заключения контракта на поставку выплачивается предоплата (аванс) за предстоящую поставку товаров. Вправе ли заказчик в этом случае не устанавливать в конкурсной документации фиксированный размер предоплаты, а сделать это при заключении контракта?</w:t>
      </w:r>
    </w:p>
    <w:p w:rsidR="00225B83" w:rsidRDefault="00225B83">
      <w:pPr>
        <w:widowControl w:val="0"/>
        <w:autoSpaceDE w:val="0"/>
        <w:autoSpaceDN w:val="0"/>
        <w:adjustRightInd w:val="0"/>
        <w:spacing w:after="0" w:line="240" w:lineRule="auto"/>
        <w:ind w:firstLine="540"/>
        <w:jc w:val="both"/>
        <w:rPr>
          <w:rFonts w:ascii="Calibri" w:hAnsi="Calibri" w:cs="Calibri"/>
        </w:rPr>
      </w:pP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Считаем, что заказчик при установлении в конкурсной документации условия о выплате предоплаты (аванса) обязан установить в конкурсной документации ее размер в точном указании процента или в фиксированной сумме.</w:t>
      </w:r>
    </w:p>
    <w:p w:rsidR="00225B83" w:rsidRDefault="00225B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Отсутствие же в конкурсной документации указания на фиксированный размер предоплаты будет являться нарушением положений Федерального </w:t>
      </w:r>
      <w:hyperlink r:id="rId5" w:history="1">
        <w:r>
          <w:rPr>
            <w:rFonts w:ascii="Calibri" w:hAnsi="Calibri" w:cs="Calibri"/>
            <w:color w:val="0000FF"/>
          </w:rPr>
          <w:t>закона</w:t>
        </w:r>
      </w:hyperlink>
      <w:r>
        <w:rPr>
          <w:rFonts w:ascii="Calibri" w:hAnsi="Calibri" w:cs="Calibri"/>
        </w:rPr>
        <w:t xml:space="preserve"> от 21.07.2005 N 94-ФЗ "О размещении заказов на поставки товаров, выполнение работ, оказание услуг для государственных и муниципальных нужд" (далее - Закон N 94-ФЗ), а с 01.01.2014 - положений Федерального </w:t>
      </w:r>
      <w:hyperlink r:id="rId6" w:history="1">
        <w:r>
          <w:rPr>
            <w:rFonts w:ascii="Calibri" w:hAnsi="Calibri" w:cs="Calibri"/>
            <w:color w:val="0000FF"/>
          </w:rPr>
          <w:t>закона</w:t>
        </w:r>
      </w:hyperlink>
      <w:r>
        <w:rPr>
          <w:rFonts w:ascii="Calibri" w:hAnsi="Calibri" w:cs="Calibri"/>
        </w:rPr>
        <w:t xml:space="preserve"> от 05.04.2013 N 44-ФЗ "О контрактной системе в сфере закупок товаров, работ, услуг для обеспечения</w:t>
      </w:r>
      <w:proofErr w:type="gramEnd"/>
      <w:r>
        <w:rPr>
          <w:rFonts w:ascii="Calibri" w:hAnsi="Calibri" w:cs="Calibri"/>
        </w:rPr>
        <w:t xml:space="preserve"> государственных и муниципальных нужд" (далее - Закон N 44-ФЗ).</w:t>
      </w:r>
    </w:p>
    <w:p w:rsidR="00225B83" w:rsidRDefault="00225B83">
      <w:pPr>
        <w:widowControl w:val="0"/>
        <w:autoSpaceDE w:val="0"/>
        <w:autoSpaceDN w:val="0"/>
        <w:adjustRightInd w:val="0"/>
        <w:spacing w:after="0" w:line="240" w:lineRule="auto"/>
        <w:ind w:firstLine="540"/>
        <w:jc w:val="both"/>
        <w:rPr>
          <w:rFonts w:ascii="Calibri" w:hAnsi="Calibri" w:cs="Calibri"/>
        </w:rPr>
      </w:pP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На основании </w:t>
      </w:r>
      <w:hyperlink r:id="rId7" w:history="1">
        <w:r>
          <w:rPr>
            <w:rFonts w:ascii="Calibri" w:hAnsi="Calibri" w:cs="Calibri"/>
            <w:color w:val="0000FF"/>
          </w:rPr>
          <w:t>п. 4.2 ч. 4 ст. 22</w:t>
        </w:r>
      </w:hyperlink>
      <w:r>
        <w:rPr>
          <w:rFonts w:ascii="Calibri" w:hAnsi="Calibri" w:cs="Calibri"/>
        </w:rPr>
        <w:t xml:space="preserve"> Закона N 94-ФЗ конкурсная документация должна содержать форму, сроки и порядок оплаты товара, работ, услуг.</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соответствии с </w:t>
      </w:r>
      <w:hyperlink r:id="rId8" w:history="1">
        <w:r>
          <w:rPr>
            <w:rFonts w:ascii="Calibri" w:hAnsi="Calibri" w:cs="Calibri"/>
            <w:color w:val="0000FF"/>
          </w:rPr>
          <w:t>ч. 5 ст. 22</w:t>
        </w:r>
      </w:hyperlink>
      <w:r>
        <w:rPr>
          <w:rFonts w:ascii="Calibri" w:hAnsi="Calibri" w:cs="Calibri"/>
        </w:rPr>
        <w:t xml:space="preserve"> Закона N 94-ФЗ к конкурсной документации должен быть приложен проект контракта, который является неотъемлемой частью конкурсной документации.</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9" w:history="1">
        <w:r>
          <w:rPr>
            <w:rFonts w:ascii="Calibri" w:hAnsi="Calibri" w:cs="Calibri"/>
            <w:color w:val="0000FF"/>
          </w:rPr>
          <w:t>ч. 3 ст. 29</w:t>
        </w:r>
      </w:hyperlink>
      <w:r>
        <w:rPr>
          <w:rFonts w:ascii="Calibri" w:hAnsi="Calibri" w:cs="Calibri"/>
        </w:rPr>
        <w:t xml:space="preserve"> Закона N 94-ФЗ следует, что контракт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условия контракта должны соответствовать условиям, указанным в конкурсной документации.</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0" w:history="1">
        <w:r>
          <w:rPr>
            <w:rFonts w:ascii="Calibri" w:hAnsi="Calibri" w:cs="Calibri"/>
            <w:color w:val="0000FF"/>
          </w:rPr>
          <w:t>Постановления</w:t>
        </w:r>
      </w:hyperlink>
      <w:r>
        <w:rPr>
          <w:rFonts w:ascii="Calibri" w:hAnsi="Calibri" w:cs="Calibri"/>
        </w:rPr>
        <w:t xml:space="preserve"> ФАС Московского округа от 18.03.2011 N КА-А40/570-11 по делу N А40-33098/10-119-167 следует: если заказчиком в документации о торгах установлено </w:t>
      </w:r>
      <w:proofErr w:type="gramStart"/>
      <w:r>
        <w:rPr>
          <w:rFonts w:ascii="Calibri" w:hAnsi="Calibri" w:cs="Calibri"/>
        </w:rPr>
        <w:t>условие</w:t>
      </w:r>
      <w:proofErr w:type="gramEnd"/>
      <w:r>
        <w:rPr>
          <w:rFonts w:ascii="Calibri" w:hAnsi="Calibri" w:cs="Calibri"/>
        </w:rPr>
        <w:t xml:space="preserve"> о выплате аванса, но не установлен его фиксированный размер, такое условие не соответствует </w:t>
      </w:r>
      <w:hyperlink r:id="rId11" w:history="1">
        <w:r>
          <w:rPr>
            <w:rFonts w:ascii="Calibri" w:hAnsi="Calibri" w:cs="Calibri"/>
            <w:color w:val="0000FF"/>
          </w:rPr>
          <w:t>Закону</w:t>
        </w:r>
      </w:hyperlink>
      <w:r>
        <w:rPr>
          <w:rFonts w:ascii="Calibri" w:hAnsi="Calibri" w:cs="Calibri"/>
        </w:rPr>
        <w:t xml:space="preserve"> N 94-ФЗ.</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ФАС Уральского округа в </w:t>
      </w:r>
      <w:hyperlink r:id="rId12" w:history="1">
        <w:r>
          <w:rPr>
            <w:rFonts w:ascii="Calibri" w:hAnsi="Calibri" w:cs="Calibri"/>
            <w:color w:val="0000FF"/>
          </w:rPr>
          <w:t>Постановлении</w:t>
        </w:r>
      </w:hyperlink>
      <w:r>
        <w:rPr>
          <w:rFonts w:ascii="Calibri" w:hAnsi="Calibri" w:cs="Calibri"/>
        </w:rPr>
        <w:t xml:space="preserve"> от 20.05.2011 N Ф09-2566/11-С1 по делу N А71-9169/2010-А28 отметил: установление заказчиком в документации о торгах положения о перечислении поставщику аванса в размере до 30% от цены такого контракта нарушает единый порядок размещения заказа, посягает на принцип неизменности условий контракта в ходе его исполнения.</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заказчик при установлении в конкурсной документации условия о выплате предоплаты обязан установить в документации ее размер в точном указании процента или в фиксированной сумме. Отсутствие же в конкурсной документации конкретного размера предоплаты будет являться нарушением положений </w:t>
      </w:r>
      <w:hyperlink r:id="rId13" w:history="1">
        <w:r>
          <w:rPr>
            <w:rFonts w:ascii="Calibri" w:hAnsi="Calibri" w:cs="Calibri"/>
            <w:color w:val="0000FF"/>
          </w:rPr>
          <w:t>Закона</w:t>
        </w:r>
      </w:hyperlink>
      <w:r>
        <w:rPr>
          <w:rFonts w:ascii="Calibri" w:hAnsi="Calibri" w:cs="Calibri"/>
        </w:rPr>
        <w:t xml:space="preserve"> N 94-ФЗ. </w:t>
      </w:r>
      <w:proofErr w:type="gramStart"/>
      <w:r>
        <w:rPr>
          <w:rFonts w:ascii="Calibri" w:hAnsi="Calibri" w:cs="Calibri"/>
        </w:rPr>
        <w:t>В то же время отметим, что установление авансовых платежей по государственным или муниципальным контрактам является правом, но не обязанностью заказчика (если иное не предусмотрено законодательством Российской Федерации), так как следует отметить, что на практике получение авансового платежа является в некоторых случаях основной целью заключения контракта со стороны недобросовестного поставщика (подрядчика, исполнителя), необходимость установления размера аванса должна тщательно анализироваться в каждом</w:t>
      </w:r>
      <w:proofErr w:type="gramEnd"/>
      <w:r>
        <w:rPr>
          <w:rFonts w:ascii="Calibri" w:hAnsi="Calibri" w:cs="Calibri"/>
        </w:rPr>
        <w:t xml:space="preserve"> конкретном </w:t>
      </w:r>
      <w:proofErr w:type="gramStart"/>
      <w:r>
        <w:rPr>
          <w:rFonts w:ascii="Calibri" w:hAnsi="Calibri" w:cs="Calibri"/>
        </w:rPr>
        <w:t>случае</w:t>
      </w:r>
      <w:proofErr w:type="gramEnd"/>
      <w:r>
        <w:rPr>
          <w:rFonts w:ascii="Calibri" w:hAnsi="Calibri" w:cs="Calibri"/>
        </w:rPr>
        <w:t xml:space="preserve"> (</w:t>
      </w:r>
      <w:hyperlink r:id="rId14" w:history="1">
        <w:r>
          <w:rPr>
            <w:rFonts w:ascii="Calibri" w:hAnsi="Calibri" w:cs="Calibri"/>
            <w:color w:val="0000FF"/>
          </w:rPr>
          <w:t>Письмо</w:t>
        </w:r>
      </w:hyperlink>
      <w:r>
        <w:rPr>
          <w:rFonts w:ascii="Calibri" w:hAnsi="Calibri" w:cs="Calibri"/>
        </w:rPr>
        <w:t xml:space="preserve"> Минэкономразвития России от 09.02.2009 N Д05-655).</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сообщаем, что </w:t>
      </w:r>
      <w:hyperlink r:id="rId15" w:history="1">
        <w:r>
          <w:rPr>
            <w:rFonts w:ascii="Calibri" w:hAnsi="Calibri" w:cs="Calibri"/>
            <w:color w:val="0000FF"/>
          </w:rPr>
          <w:t>Закон</w:t>
        </w:r>
      </w:hyperlink>
      <w:r>
        <w:rPr>
          <w:rFonts w:ascii="Calibri" w:hAnsi="Calibri" w:cs="Calibri"/>
        </w:rPr>
        <w:t xml:space="preserve"> N 94-ФЗ утрачивает силу 01.01.2014 в связи с вступлением в силу </w:t>
      </w:r>
      <w:hyperlink r:id="rId16" w:history="1">
        <w:r>
          <w:rPr>
            <w:rFonts w:ascii="Calibri" w:hAnsi="Calibri" w:cs="Calibri"/>
            <w:color w:val="0000FF"/>
          </w:rPr>
          <w:t>Закона</w:t>
        </w:r>
      </w:hyperlink>
      <w:r>
        <w:rPr>
          <w:rFonts w:ascii="Calibri" w:hAnsi="Calibri" w:cs="Calibri"/>
        </w:rPr>
        <w:t xml:space="preserve"> N 44-ФЗ.</w:t>
      </w:r>
    </w:p>
    <w:p w:rsidR="00225B83" w:rsidRDefault="00225B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требованиями </w:t>
      </w:r>
      <w:hyperlink r:id="rId17" w:history="1">
        <w:r>
          <w:rPr>
            <w:rFonts w:ascii="Calibri" w:hAnsi="Calibri" w:cs="Calibri"/>
            <w:color w:val="0000FF"/>
          </w:rPr>
          <w:t>ч. 13 ст. 34</w:t>
        </w:r>
      </w:hyperlink>
      <w:r>
        <w:rPr>
          <w:rFonts w:ascii="Calibri" w:hAnsi="Calibri" w:cs="Calibri"/>
        </w:rPr>
        <w:t xml:space="preserve"> Закона N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w:t>
      </w:r>
      <w:proofErr w:type="gramEnd"/>
      <w:r>
        <w:rPr>
          <w:rFonts w:ascii="Calibri" w:hAnsi="Calibri" w:cs="Calibri"/>
        </w:rPr>
        <w:t xml:space="preserve"> приемки.</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 (</w:t>
      </w:r>
      <w:hyperlink r:id="rId18" w:history="1">
        <w:r>
          <w:rPr>
            <w:rFonts w:ascii="Calibri" w:hAnsi="Calibri" w:cs="Calibri"/>
            <w:color w:val="0000FF"/>
          </w:rPr>
          <w:t>ч. 4 ст. 48</w:t>
        </w:r>
      </w:hyperlink>
      <w:r>
        <w:rPr>
          <w:rFonts w:ascii="Calibri" w:hAnsi="Calibri" w:cs="Calibri"/>
        </w:rPr>
        <w:t xml:space="preserve"> Закона N 44-ФЗ).</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19" w:history="1">
        <w:r>
          <w:rPr>
            <w:rFonts w:ascii="Calibri" w:hAnsi="Calibri" w:cs="Calibri"/>
            <w:color w:val="0000FF"/>
          </w:rPr>
          <w:t>ч. 2 ст. 50</w:t>
        </w:r>
      </w:hyperlink>
      <w:r>
        <w:rPr>
          <w:rFonts w:ascii="Calibri" w:hAnsi="Calibri" w:cs="Calibri"/>
        </w:rPr>
        <w:t xml:space="preserve"> Закона N 44-ФЗ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20" w:history="1">
        <w:r>
          <w:rPr>
            <w:rFonts w:ascii="Calibri" w:hAnsi="Calibri" w:cs="Calibri"/>
            <w:color w:val="0000FF"/>
          </w:rPr>
          <w:t>ч. 1 ст. 54</w:t>
        </w:r>
      </w:hyperlink>
      <w:r>
        <w:rPr>
          <w:rFonts w:ascii="Calibri" w:hAnsi="Calibri" w:cs="Calibri"/>
        </w:rPr>
        <w:t xml:space="preserve"> Закона N 44-ФЗ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по нашему мнению, при проведении открытого конкурса в соответствии с положениями </w:t>
      </w:r>
      <w:hyperlink r:id="rId21" w:history="1">
        <w:r>
          <w:rPr>
            <w:rFonts w:ascii="Calibri" w:hAnsi="Calibri" w:cs="Calibri"/>
            <w:color w:val="0000FF"/>
          </w:rPr>
          <w:t>Закона</w:t>
        </w:r>
      </w:hyperlink>
      <w:r>
        <w:rPr>
          <w:rFonts w:ascii="Calibri" w:hAnsi="Calibri" w:cs="Calibri"/>
        </w:rPr>
        <w:t xml:space="preserve"> N 44-ФЗ заказчик обязан указывать в конкурсной документации конкретный процент предоплаты или фиксированную сумму предоплаты, если условие о предоплате предусмотрено конкурсной документацией. Необходимо отметить, что, устанавливая размер авансового платежа, органу местного самоуправления (заказчику) следует руководствоваться документом, регламентирующим порядок и размеры авансовых платежей, финансируемых из соответствующего бюджета.</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Например, получатели средств федерального бюджета при заключении договоров (государственных контрактов) в пределах доведенных им в установленном порядке соответствующих лимитов бюджетных обязательств на очередной финансовый год и на плановый период, вправе предусматривать авансовые платежи в соответствии с Постановлением Правительства РФ, устанавливающим определенные ограничения размера авансовой предоплаты. На 2013 г. такие ограничения поименованы в </w:t>
      </w:r>
      <w:hyperlink r:id="rId22" w:history="1">
        <w:r>
          <w:rPr>
            <w:rFonts w:ascii="Calibri" w:hAnsi="Calibri" w:cs="Calibri"/>
            <w:color w:val="0000FF"/>
          </w:rPr>
          <w:t>п. 17</w:t>
        </w:r>
      </w:hyperlink>
      <w:r>
        <w:rPr>
          <w:rFonts w:ascii="Calibri" w:hAnsi="Calibri" w:cs="Calibri"/>
        </w:rPr>
        <w:t xml:space="preserve"> Постановления Правительства РФ от 10.12.2012 N 1272 "О мерах по реализации Федерального закона "О федеральном бюджете на 2013 год и на плановый период 2014 и 2015 годов".</w:t>
      </w:r>
    </w:p>
    <w:p w:rsidR="00225B83" w:rsidRDefault="002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считаем, что как до, так и после 01.01.2014, в случае если заказчик принял решение об установлении в конкурсной документации условия о выплате предоплаты (авансового платежа), ее размер должен быть выражен конкретно: либо в точном указании процентов, либо в конкретном денежном выражении.</w:t>
      </w:r>
    </w:p>
    <w:p w:rsidR="00225B83" w:rsidRDefault="00225B83">
      <w:pPr>
        <w:widowControl w:val="0"/>
        <w:autoSpaceDE w:val="0"/>
        <w:autoSpaceDN w:val="0"/>
        <w:adjustRightInd w:val="0"/>
        <w:spacing w:after="0" w:line="240" w:lineRule="auto"/>
        <w:jc w:val="both"/>
        <w:rPr>
          <w:rFonts w:ascii="Calibri" w:hAnsi="Calibri" w:cs="Calibri"/>
        </w:rPr>
      </w:pPr>
    </w:p>
    <w:p w:rsidR="00225B83" w:rsidRDefault="00225B83">
      <w:pPr>
        <w:widowControl w:val="0"/>
        <w:autoSpaceDE w:val="0"/>
        <w:autoSpaceDN w:val="0"/>
        <w:adjustRightInd w:val="0"/>
        <w:spacing w:after="0" w:line="240" w:lineRule="auto"/>
        <w:jc w:val="right"/>
        <w:rPr>
          <w:rFonts w:ascii="Calibri" w:hAnsi="Calibri" w:cs="Calibri"/>
        </w:rPr>
      </w:pPr>
      <w:r>
        <w:rPr>
          <w:rFonts w:ascii="Calibri" w:hAnsi="Calibri" w:cs="Calibri"/>
        </w:rPr>
        <w:t>И.Р.Моравский</w:t>
      </w:r>
    </w:p>
    <w:p w:rsidR="00225B83" w:rsidRDefault="00225B83">
      <w:pPr>
        <w:widowControl w:val="0"/>
        <w:autoSpaceDE w:val="0"/>
        <w:autoSpaceDN w:val="0"/>
        <w:adjustRightInd w:val="0"/>
        <w:spacing w:after="0" w:line="240" w:lineRule="auto"/>
        <w:jc w:val="right"/>
        <w:rPr>
          <w:rFonts w:ascii="Calibri" w:hAnsi="Calibri" w:cs="Calibri"/>
        </w:rPr>
      </w:pPr>
      <w:r>
        <w:rPr>
          <w:rFonts w:ascii="Calibri" w:hAnsi="Calibri" w:cs="Calibri"/>
        </w:rPr>
        <w:t>Юридическая компания "Юново"</w:t>
      </w:r>
    </w:p>
    <w:p w:rsidR="00225B83" w:rsidRDefault="00225B83">
      <w:pPr>
        <w:widowControl w:val="0"/>
        <w:autoSpaceDE w:val="0"/>
        <w:autoSpaceDN w:val="0"/>
        <w:adjustRightInd w:val="0"/>
        <w:spacing w:after="0" w:line="240" w:lineRule="auto"/>
        <w:rPr>
          <w:rFonts w:ascii="Calibri" w:hAnsi="Calibri" w:cs="Calibri"/>
        </w:rPr>
      </w:pPr>
      <w:r>
        <w:rPr>
          <w:rFonts w:ascii="Calibri" w:hAnsi="Calibri" w:cs="Calibri"/>
        </w:rPr>
        <w:t>06.09.2013</w:t>
      </w:r>
    </w:p>
    <w:p w:rsidR="00225B83" w:rsidRDefault="00225B83">
      <w:pPr>
        <w:widowControl w:val="0"/>
        <w:autoSpaceDE w:val="0"/>
        <w:autoSpaceDN w:val="0"/>
        <w:adjustRightInd w:val="0"/>
        <w:spacing w:after="0" w:line="240" w:lineRule="auto"/>
        <w:ind w:firstLine="540"/>
        <w:jc w:val="both"/>
        <w:rPr>
          <w:rFonts w:ascii="Calibri" w:hAnsi="Calibri" w:cs="Calibri"/>
        </w:rPr>
      </w:pPr>
    </w:p>
    <w:p w:rsidR="00225B83" w:rsidRDefault="00225B83">
      <w:pPr>
        <w:widowControl w:val="0"/>
        <w:autoSpaceDE w:val="0"/>
        <w:autoSpaceDN w:val="0"/>
        <w:adjustRightInd w:val="0"/>
        <w:spacing w:after="0" w:line="240" w:lineRule="auto"/>
        <w:ind w:firstLine="540"/>
        <w:jc w:val="both"/>
        <w:rPr>
          <w:rFonts w:ascii="Calibri" w:hAnsi="Calibri" w:cs="Calibri"/>
        </w:rPr>
      </w:pPr>
    </w:p>
    <w:p w:rsidR="00225B83" w:rsidRDefault="00225B8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AE4" w:rsidRDefault="000F0AE4">
      <w:bookmarkStart w:id="0" w:name="_GoBack"/>
      <w:bookmarkEnd w:id="0"/>
    </w:p>
    <w:sectPr w:rsidR="000F0AE4" w:rsidSect="00FF6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83"/>
    <w:rsid w:val="000F0AE4"/>
    <w:rsid w:val="0022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5F955EDD03A4900A1394BDAFC09C5FFAA18A1D3197DC79D5F8CDC5926FEEED36C768DB89ICN1K" TargetMode="External"/><Relationship Id="rId13" Type="http://schemas.openxmlformats.org/officeDocument/2006/relationships/hyperlink" Target="consultantplus://offline/ref=BA5F955EDD03A4900A1394BDAFC09C5FFAA18A1D3197DC79D5F8CDC5926FEEED36C768D38DC2FBC9IDN1K" TargetMode="External"/><Relationship Id="rId18" Type="http://schemas.openxmlformats.org/officeDocument/2006/relationships/hyperlink" Target="consultantplus://offline/ref=BA5F955EDD03A4900A1394BDAFC09C5FFAA18A103B95DC79D5F8CDC5926FEEED36C768D38DC2F9C0IDN2K" TargetMode="External"/><Relationship Id="rId3" Type="http://schemas.openxmlformats.org/officeDocument/2006/relationships/settings" Target="settings.xml"/><Relationship Id="rId21" Type="http://schemas.openxmlformats.org/officeDocument/2006/relationships/hyperlink" Target="consultantplus://offline/ref=BA5F955EDD03A4900A1394BDAFC09C5FFAA18A103B95DC79D5F8CDC5926FEEED36C768D38DC2F8C9IDN6K" TargetMode="External"/><Relationship Id="rId7" Type="http://schemas.openxmlformats.org/officeDocument/2006/relationships/hyperlink" Target="consultantplus://offline/ref=BA5F955EDD03A4900A1394BDAFC09C5FFAA18A1D3197DC79D5F8CDC5926FEEED36C768D38DC2FBC9IDN1K" TargetMode="External"/><Relationship Id="rId12" Type="http://schemas.openxmlformats.org/officeDocument/2006/relationships/hyperlink" Target="consultantplus://offline/ref=BA5F955EDD03A4900A138BA9AAC09C5FFAA484173B9EDC79D5F8CDC592I6NFK" TargetMode="External"/><Relationship Id="rId17" Type="http://schemas.openxmlformats.org/officeDocument/2006/relationships/hyperlink" Target="consultantplus://offline/ref=BA5F955EDD03A4900A1394BDAFC09C5FFAA18A103B95DC79D5F8CDC5926FEEED36C768D38DC2F8C9IDN6K" TargetMode="External"/><Relationship Id="rId2" Type="http://schemas.microsoft.com/office/2007/relationships/stylesWithEffects" Target="stylesWithEffects.xml"/><Relationship Id="rId16" Type="http://schemas.openxmlformats.org/officeDocument/2006/relationships/hyperlink" Target="consultantplus://offline/ref=BA5F955EDD03A4900A1394BDAFC09C5FFAA18A103B95DC79D5F8CDC5926FEEED36C768D38DC3FACCIDN6K" TargetMode="External"/><Relationship Id="rId20" Type="http://schemas.openxmlformats.org/officeDocument/2006/relationships/hyperlink" Target="consultantplus://offline/ref=BA5F955EDD03A4900A1394BDAFC09C5FFAA18A103B95DC79D5F8CDC5926FEEED36C768D38DC2FAC1IDN5K" TargetMode="External"/><Relationship Id="rId1" Type="http://schemas.openxmlformats.org/officeDocument/2006/relationships/styles" Target="styles.xml"/><Relationship Id="rId6" Type="http://schemas.openxmlformats.org/officeDocument/2006/relationships/hyperlink" Target="consultantplus://offline/ref=BA5F955EDD03A4900A1394BDAFC09C5FFAA18A103B95DC79D5F8CDC5926FEEED36C768D38DC2F8C9IDN6K" TargetMode="External"/><Relationship Id="rId11" Type="http://schemas.openxmlformats.org/officeDocument/2006/relationships/hyperlink" Target="consultantplus://offline/ref=BA5F955EDD03A4900A1394BDAFC09C5FFAA18A1D3197DC79D5F8CDC592I6NFK" TargetMode="External"/><Relationship Id="rId24" Type="http://schemas.openxmlformats.org/officeDocument/2006/relationships/theme" Target="theme/theme1.xml"/><Relationship Id="rId5" Type="http://schemas.openxmlformats.org/officeDocument/2006/relationships/hyperlink" Target="consultantplus://offline/ref=BA5F955EDD03A4900A1394BDAFC09C5FFAA18A1D3197DC79D5F8CDC5926FEEED36C768D38DC2FBC9IDN1K" TargetMode="External"/><Relationship Id="rId15" Type="http://schemas.openxmlformats.org/officeDocument/2006/relationships/hyperlink" Target="consultantplus://offline/ref=BA5F955EDD03A4900A1394BDAFC09C5FFAA18A1D3197DC79D5F8CDC592I6NFK" TargetMode="External"/><Relationship Id="rId23" Type="http://schemas.openxmlformats.org/officeDocument/2006/relationships/fontTable" Target="fontTable.xml"/><Relationship Id="rId10" Type="http://schemas.openxmlformats.org/officeDocument/2006/relationships/hyperlink" Target="consultantplus://offline/ref=BA5F955EDD03A4900A138BB1ABC09C5FFAA182123E90DC79D5F8CDC592I6NFK" TargetMode="External"/><Relationship Id="rId19" Type="http://schemas.openxmlformats.org/officeDocument/2006/relationships/hyperlink" Target="consultantplus://offline/ref=BA5F955EDD03A4900A1394BDAFC09C5FFAA18A103B95DC79D5F8CDC5926FEEED36C768D38DC2FAC9IDNDK" TargetMode="External"/><Relationship Id="rId4" Type="http://schemas.openxmlformats.org/officeDocument/2006/relationships/webSettings" Target="webSettings.xml"/><Relationship Id="rId9" Type="http://schemas.openxmlformats.org/officeDocument/2006/relationships/hyperlink" Target="consultantplus://offline/ref=BA5F955EDD03A4900A1394BDAFC09C5FFAA18A1D3197DC79D5F8CDC5926FEEED36C768DB8BICN6K" TargetMode="External"/><Relationship Id="rId14" Type="http://schemas.openxmlformats.org/officeDocument/2006/relationships/hyperlink" Target="consultantplus://offline/ref=BA5F955EDD03A4900A1389AFBAB4C90CF6A485153C9C8173DDA1C1C79560B1FA318E64D28DC2FEICNAK" TargetMode="External"/><Relationship Id="rId22" Type="http://schemas.openxmlformats.org/officeDocument/2006/relationships/hyperlink" Target="consultantplus://offline/ref=BA5F955EDD03A4900A1394BDAFC09C5FFAA68A1D3C9EDC79D5F8CDC5926FEEED36C768D38DC2FCCFIDN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2014-01-21T10:13:00Z</dcterms:created>
  <dcterms:modified xsi:type="dcterms:W3CDTF">2014-01-21T10:13:00Z</dcterms:modified>
</cp:coreProperties>
</file>