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12" w:rsidRDefault="00055D4B" w:rsidP="00DC1812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55D4B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r w:rsidRPr="00055D4B">
        <w:rPr>
          <w:rFonts w:ascii="Times New Roman" w:eastAsia="Times New Roman" w:hAnsi="Times New Roman"/>
          <w:sz w:val="28"/>
          <w:szCs w:val="28"/>
          <w:lang w:eastAsia="ru-RU"/>
        </w:rPr>
        <w:br/>
        <w:t>распоряжением замест</w:t>
      </w:r>
      <w:r w:rsidR="005A3E3C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ителя Главы городского округа </w:t>
      </w:r>
      <w:r w:rsidR="00DC18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A3E3C">
        <w:rPr>
          <w:rFonts w:ascii="Times New Roman" w:eastAsia="Times New Roman" w:hAnsi="Times New Roman"/>
          <w:sz w:val="28"/>
          <w:szCs w:val="28"/>
          <w:lang w:eastAsia="ru-RU"/>
        </w:rPr>
        <w:t>"Г</w:t>
      </w:r>
      <w:r w:rsidRPr="00055D4B">
        <w:rPr>
          <w:rFonts w:ascii="Times New Roman" w:eastAsia="Times New Roman" w:hAnsi="Times New Roman"/>
          <w:sz w:val="28"/>
          <w:szCs w:val="28"/>
          <w:lang w:eastAsia="ru-RU"/>
        </w:rPr>
        <w:t>ород Архангельск</w:t>
      </w:r>
    </w:p>
    <w:p w:rsidR="00055D4B" w:rsidRDefault="00DC1812" w:rsidP="00DC1812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F645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2024 г. № </w:t>
      </w:r>
      <w:r w:rsidR="00AF6458">
        <w:rPr>
          <w:rFonts w:ascii="Times New Roman" w:eastAsia="Times New Roman" w:hAnsi="Times New Roman"/>
          <w:sz w:val="28"/>
          <w:szCs w:val="28"/>
          <w:lang w:eastAsia="ru-RU"/>
        </w:rPr>
        <w:t>2144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055D4B" w:rsidRPr="00055D4B" w:rsidRDefault="00055D4B" w:rsidP="00055D4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left="10915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458" w:rsidRDefault="00AF6458" w:rsidP="00055D4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5D4B" w:rsidRPr="00055D4B" w:rsidRDefault="00055D4B" w:rsidP="00055D4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5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</w:p>
    <w:p w:rsidR="00055D4B" w:rsidRDefault="00055D4B" w:rsidP="00055D4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5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прогнозирования поступлений </w:t>
      </w:r>
      <w:r w:rsidR="00956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доходам городского бюджета</w:t>
      </w:r>
      <w:r w:rsidR="005A3E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AF64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956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главным администратором которых является Администрация городского округа "Город Архангельск"</w:t>
      </w:r>
    </w:p>
    <w:p w:rsidR="001D1356" w:rsidRPr="00055D4B" w:rsidRDefault="001D1356" w:rsidP="00055D4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1070"/>
        <w:gridCol w:w="2006"/>
        <w:gridCol w:w="1977"/>
        <w:gridCol w:w="2072"/>
        <w:gridCol w:w="1682"/>
        <w:gridCol w:w="2039"/>
        <w:gridCol w:w="1649"/>
        <w:gridCol w:w="1819"/>
      </w:tblGrid>
      <w:tr w:rsidR="00B3464C" w:rsidRPr="00DC1812" w:rsidTr="00DC1812">
        <w:tc>
          <w:tcPr>
            <w:tcW w:w="713" w:type="dxa"/>
            <w:shd w:val="clear" w:color="auto" w:fill="auto"/>
            <w:vAlign w:val="center"/>
          </w:tcPr>
          <w:p w:rsidR="00055D4B" w:rsidRPr="00DC181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п/п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55D4B" w:rsidRPr="00DC1812" w:rsidRDefault="00055D4B" w:rsidP="00AF645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Код главного </w:t>
            </w:r>
            <w:r w:rsidR="00AF6458"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адми</w:t>
            </w:r>
            <w:r w:rsidR="00AF645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</w:t>
            </w:r>
            <w:r w:rsidR="00AF6458"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</w:t>
            </w:r>
            <w:r w:rsidR="00AF645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="00AF6458"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стратора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55D4B" w:rsidRPr="00DC1812" w:rsidRDefault="00055D4B" w:rsidP="00AF645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55D4B" w:rsidRPr="00DC181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КБК 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55D4B" w:rsidRPr="00DC1812" w:rsidRDefault="00055D4B" w:rsidP="00AF645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55D4B" w:rsidRPr="00DC1812" w:rsidRDefault="00055D4B" w:rsidP="00AF645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метода расчета 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55D4B" w:rsidRPr="00DC181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Формула расчета 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55D4B" w:rsidRPr="00DC181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Алгоритм расчета 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endnoteReference w:customMarkFollows="1" w:id="4"/>
              <w:t>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55D4B" w:rsidRPr="00DC181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C18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Описание показателей </w:t>
            </w:r>
            <w:r w:rsidRPr="00DC181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ru-RU"/>
              </w:rPr>
              <w:endnoteReference w:customMarkFollows="1" w:id="5"/>
              <w:t>5</w:t>
            </w:r>
          </w:p>
        </w:tc>
      </w:tr>
      <w:tr w:rsidR="00B3464C" w:rsidRPr="000A3B02" w:rsidTr="00DC1812">
        <w:tc>
          <w:tcPr>
            <w:tcW w:w="713" w:type="dxa"/>
            <w:shd w:val="clear" w:color="auto" w:fill="auto"/>
          </w:tcPr>
          <w:p w:rsidR="00055D4B" w:rsidRPr="000A3B0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55D4B" w:rsidRPr="000A3B0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055D4B" w:rsidRPr="000A3B02" w:rsidRDefault="006518E9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10807150010</w:t>
            </w:r>
            <w:r w:rsidR="00055D4B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072" w:type="dxa"/>
            <w:shd w:val="clear" w:color="auto" w:fill="auto"/>
          </w:tcPr>
          <w:p w:rsidR="00752BBB" w:rsidRPr="000A3B02" w:rsidRDefault="0037516C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Государственная пошлина за выдачу разрешения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установку рекламной конструкции</w:t>
            </w:r>
          </w:p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55D4B" w:rsidRPr="000A3B02" w:rsidRDefault="00B70AD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</w:t>
            </w:r>
            <w:r w:rsidR="00055D4B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рямого расчета</w:t>
            </w:r>
          </w:p>
        </w:tc>
        <w:tc>
          <w:tcPr>
            <w:tcW w:w="2039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 =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р*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649" w:type="dxa"/>
            <w:shd w:val="clear" w:color="auto" w:fill="auto"/>
          </w:tcPr>
          <w:p w:rsidR="00055D4B" w:rsidRPr="000A3B02" w:rsidRDefault="005E6A01" w:rsidP="005E6A01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 – прогнозируемый объем доходов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государственной пошлине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выдачу разрешения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установку рекламной конструкции;</w:t>
            </w:r>
          </w:p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 – Количество планируемых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выдаче разрешений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установку </w:t>
            </w:r>
            <w:r w:rsidR="00AF6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эксплуатацию рекламных конструкций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E7F68">
              <w:t xml:space="preserve"> 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количества 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планируемых </w:t>
            </w:r>
            <w:r w:rsidR="00CA7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выдаче разрешений </w:t>
            </w:r>
            <w:r w:rsidR="00CA7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установку </w:t>
            </w:r>
            <w:r w:rsidR="00CA7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эксплуатацию рекламных конструкций 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основывается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статистических данных не менее чем за 3 года или за весь период оказания услуги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</w:t>
            </w:r>
            <w:r w:rsidR="00D46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лучае если он не превышает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46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  <w:r w:rsid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46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6389" w:rsidRPr="00381ED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предшествующему</w:t>
            </w:r>
            <w:r w:rsidR="00D46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 в котором осуществляется прогнозирование.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055D4B" w:rsidRPr="000A3B02" w:rsidRDefault="00055D4B" w:rsidP="00381ED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гп – размер государственной пошлины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выдачу разрешения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установку рекламной конструкции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атья 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333.33</w:t>
            </w:r>
            <w:r w:rsidR="00CC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</w:t>
            </w:r>
            <w:r w:rsidR="005E7F6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едерации)</w:t>
            </w:r>
          </w:p>
        </w:tc>
      </w:tr>
      <w:tr w:rsidR="006518E9" w:rsidRPr="000A3B02" w:rsidTr="00DC1812">
        <w:tc>
          <w:tcPr>
            <w:tcW w:w="713" w:type="dxa"/>
            <w:shd w:val="clear" w:color="auto" w:fill="auto"/>
          </w:tcPr>
          <w:p w:rsidR="006518E9" w:rsidRDefault="00752BB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  <w:shd w:val="clear" w:color="auto" w:fill="auto"/>
          </w:tcPr>
          <w:p w:rsidR="006518E9" w:rsidRPr="000A3B02" w:rsidRDefault="006518E9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6518E9" w:rsidRPr="000A3B02" w:rsidRDefault="006518E9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</w:t>
            </w:r>
            <w:r w:rsidR="00DD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руга </w:t>
            </w:r>
            <w:r w:rsidR="00DD4295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6518E9" w:rsidRPr="000A3B02" w:rsidRDefault="006518E9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11101040040000120</w:t>
            </w:r>
          </w:p>
        </w:tc>
        <w:tc>
          <w:tcPr>
            <w:tcW w:w="2072" w:type="dxa"/>
            <w:shd w:val="clear" w:color="auto" w:fill="auto"/>
          </w:tcPr>
          <w:p w:rsidR="006518E9" w:rsidRPr="000A3B02" w:rsidRDefault="006518E9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82" w:type="dxa"/>
            <w:shd w:val="clear" w:color="auto" w:fill="auto"/>
          </w:tcPr>
          <w:p w:rsidR="006518E9" w:rsidRPr="000A3B02" w:rsidRDefault="00C803E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6518E9" w:rsidRPr="00DD4295" w:rsidRDefault="00DD4295" w:rsidP="00DD4295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:rsidR="006518E9" w:rsidRPr="000A3B02" w:rsidRDefault="00752BBB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6518E9" w:rsidRPr="0001793F" w:rsidRDefault="00C803E8" w:rsidP="007235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несистемным характером поступлений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доходы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зируются</w:t>
            </w:r>
          </w:p>
        </w:tc>
      </w:tr>
      <w:tr w:rsidR="0001793F" w:rsidRPr="000A3B02" w:rsidTr="00DC1812">
        <w:tc>
          <w:tcPr>
            <w:tcW w:w="713" w:type="dxa"/>
            <w:shd w:val="clear" w:color="auto" w:fill="auto"/>
          </w:tcPr>
          <w:p w:rsidR="0001793F" w:rsidRPr="000A3B02" w:rsidRDefault="00752BB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0" w:type="dxa"/>
            <w:shd w:val="clear" w:color="auto" w:fill="auto"/>
          </w:tcPr>
          <w:p w:rsidR="0001793F" w:rsidRPr="000A3B02" w:rsidRDefault="0001793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01793F" w:rsidRPr="000A3B02" w:rsidRDefault="0001793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</w:t>
            </w:r>
            <w:r w:rsidR="00752BBB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7" w:type="dxa"/>
            <w:shd w:val="clear" w:color="auto" w:fill="auto"/>
          </w:tcPr>
          <w:p w:rsidR="0001793F" w:rsidRPr="000A3B02" w:rsidRDefault="0001793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11105034040000120</w:t>
            </w:r>
          </w:p>
        </w:tc>
        <w:tc>
          <w:tcPr>
            <w:tcW w:w="2072" w:type="dxa"/>
            <w:shd w:val="clear" w:color="auto" w:fill="auto"/>
          </w:tcPr>
          <w:p w:rsidR="0001793F" w:rsidRPr="000A3B02" w:rsidRDefault="0001793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аренду имущества, находящегося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оперативном управлении органов управления городских округов и созданных ими учреждений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82" w:type="dxa"/>
            <w:shd w:val="clear" w:color="auto" w:fill="auto"/>
          </w:tcPr>
          <w:p w:rsidR="0001793F" w:rsidRPr="000A3B02" w:rsidRDefault="0001793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01793F" w:rsidRPr="0001793F" w:rsidRDefault="0001793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>а=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>а</w:t>
            </w:r>
          </w:p>
        </w:tc>
        <w:tc>
          <w:tcPr>
            <w:tcW w:w="1649" w:type="dxa"/>
            <w:shd w:val="clear" w:color="auto" w:fill="auto"/>
          </w:tcPr>
          <w:p w:rsidR="0001793F" w:rsidRPr="000A3B02" w:rsidRDefault="00752BBB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1793F" w:rsidRPr="00752BBB" w:rsidRDefault="0001793F" w:rsidP="007235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B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а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прогнозный объем поступлений доходов по арендной плате  на очередной</w:t>
            </w:r>
          </w:p>
          <w:p w:rsidR="0001793F" w:rsidRPr="00752BBB" w:rsidRDefault="0001793F" w:rsidP="007235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год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период;</w:t>
            </w:r>
          </w:p>
          <w:p w:rsidR="0001793F" w:rsidRPr="00752BBB" w:rsidRDefault="0001793F" w:rsidP="0001793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752B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а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фиксированный размер арендной платы (распоряжение заместителя мэра города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вопросам экономического развития и фина</w:t>
            </w:r>
            <w:r w:rsidR="00DD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нсам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D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</w:t>
            </w:r>
            <w:r w:rsidR="00752BBB"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2006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60B"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82р "О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 утверждении решений коллегии департамента муниципального имущества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="00752BBB"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использовании муниципального и</w:t>
            </w:r>
            <w:r w:rsidRP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мущества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")</w:t>
            </w:r>
          </w:p>
        </w:tc>
      </w:tr>
      <w:tr w:rsidR="00B3464C" w:rsidRPr="000A3B02" w:rsidTr="00DC1812">
        <w:tc>
          <w:tcPr>
            <w:tcW w:w="713" w:type="dxa"/>
            <w:shd w:val="clear" w:color="auto" w:fill="auto"/>
          </w:tcPr>
          <w:p w:rsidR="00055D4B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70" w:type="dxa"/>
            <w:shd w:val="clear" w:color="auto" w:fill="auto"/>
          </w:tcPr>
          <w:p w:rsidR="00055D4B" w:rsidRPr="000A3B02" w:rsidRDefault="00055D4B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11107014040000120</w:t>
            </w:r>
          </w:p>
        </w:tc>
        <w:tc>
          <w:tcPr>
            <w:tcW w:w="2072" w:type="dxa"/>
            <w:shd w:val="clear" w:color="auto" w:fill="auto"/>
          </w:tcPr>
          <w:p w:rsidR="00055D4B" w:rsidRPr="000A3B02" w:rsidRDefault="0037516C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82" w:type="dxa"/>
            <w:shd w:val="clear" w:color="auto" w:fill="auto"/>
          </w:tcPr>
          <w:p w:rsidR="00055D4B" w:rsidRPr="000A3B02" w:rsidRDefault="00B70AD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</w:t>
            </w:r>
            <w:r w:rsidR="00055D4B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рямого расчета</w:t>
            </w:r>
          </w:p>
        </w:tc>
        <w:tc>
          <w:tcPr>
            <w:tcW w:w="2039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= ЧП x НО</w:t>
            </w:r>
          </w:p>
        </w:tc>
        <w:tc>
          <w:tcPr>
            <w:tcW w:w="1649" w:type="dxa"/>
            <w:shd w:val="clear" w:color="auto" w:fill="auto"/>
          </w:tcPr>
          <w:p w:rsidR="00055D4B" w:rsidRPr="000A3B02" w:rsidRDefault="00752BBB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размер части прибыли, подлежащий переч</w:t>
            </w:r>
            <w:r w:rsidR="00904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ислению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городской бюджет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ЧП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чистая прибыль отчетного года (календарного года), остающаяся в распоряжении муниципального предприятия после уплаты налогов и иных обязательных платежей, определяемая на основании данных бухгалтерского учета и (или) отчета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финансовых результатах годовой бухгалтерской (финансовой) отчетности </w:t>
            </w:r>
            <w:r w:rsidR="00904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предприятия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055D4B" w:rsidRPr="000A3B02" w:rsidRDefault="00055D4B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 отчисления части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прибыли (да</w:t>
            </w:r>
            <w:r w:rsidR="00CC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лее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 отчисления), %</w:t>
            </w:r>
          </w:p>
        </w:tc>
      </w:tr>
      <w:tr w:rsidR="00AA6D8A" w:rsidRPr="000A3B02" w:rsidTr="00DC1812">
        <w:tc>
          <w:tcPr>
            <w:tcW w:w="713" w:type="dxa"/>
            <w:shd w:val="clear" w:color="auto" w:fill="auto"/>
          </w:tcPr>
          <w:p w:rsidR="00AA6D8A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70" w:type="dxa"/>
            <w:shd w:val="clear" w:color="auto" w:fill="auto"/>
          </w:tcPr>
          <w:p w:rsidR="00AA6D8A" w:rsidRPr="000A3B02" w:rsidRDefault="00AA6D8A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AA6D8A" w:rsidRPr="000A3B02" w:rsidRDefault="00AA6D8A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AA6D8A" w:rsidRPr="000A3B02" w:rsidRDefault="00AA6D8A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11301074040000130</w:t>
            </w:r>
          </w:p>
        </w:tc>
        <w:tc>
          <w:tcPr>
            <w:tcW w:w="2072" w:type="dxa"/>
            <w:shd w:val="clear" w:color="auto" w:fill="auto"/>
          </w:tcPr>
          <w:p w:rsidR="00AA6D8A" w:rsidRPr="000A3B02" w:rsidRDefault="0037516C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AA6D8A" w:rsidRPr="000A3B02" w:rsidRDefault="00B70AD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рямого расчета</w:t>
            </w:r>
          </w:p>
        </w:tc>
        <w:tc>
          <w:tcPr>
            <w:tcW w:w="2039" w:type="dxa"/>
            <w:shd w:val="clear" w:color="auto" w:fill="auto"/>
          </w:tcPr>
          <w:p w:rsidR="00AA6D8A" w:rsidRPr="000A3B02" w:rsidRDefault="0041773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52BBB"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A6D8A"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</w:t>
            </w:r>
            <w:r w:rsidR="00AA6D8A"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иу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="00AA6D8A"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иу</w:t>
            </w:r>
          </w:p>
        </w:tc>
        <w:tc>
          <w:tcPr>
            <w:tcW w:w="1649" w:type="dxa"/>
            <w:shd w:val="clear" w:color="auto" w:fill="auto"/>
          </w:tcPr>
          <w:p w:rsidR="00AA6D8A" w:rsidRPr="000A3B02" w:rsidRDefault="00752BBB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AA6D8A" w:rsidRPr="000A3B02" w:rsidRDefault="0041773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ИУ</w:t>
            </w:r>
            <w:r w:rsidR="00AA6D8A"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прогнозируемый объем доходов по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оказанию информационных услуг</w:t>
            </w:r>
            <w:r w:rsidR="00AA6D8A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A6D8A" w:rsidRPr="000A3B02" w:rsidRDefault="00AA6D8A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17738"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иу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</w:t>
            </w:r>
            <w:r w:rsidR="0041773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</w:t>
            </w:r>
            <w:r w:rsidR="00CC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планируемых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CC1B0D" w:rsidRPr="00381EDF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 предоставлению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количества </w:t>
            </w:r>
            <w:r w:rsidR="00417738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предоставленных информационных услуг о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сновывается на статистических данных не менее чем за 3 года или за весь период оказания услуги</w:t>
            </w:r>
            <w:r w:rsidR="002B7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</w:t>
            </w:r>
            <w:r w:rsidR="002B7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лучае если он не превышает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B7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  <w:r w:rsid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B7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предшествующему году, в котором осуществляется прогнозирование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A6D8A" w:rsidRPr="000A3B02" w:rsidRDefault="00AA6D8A" w:rsidP="00EF0A6D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17738" w:rsidRPr="004B6E3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иу</w:t>
            </w:r>
            <w:r w:rsidRPr="004B6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размер </w:t>
            </w:r>
            <w:r w:rsidR="003606DB" w:rsidRPr="004B6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платы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3606DB" w:rsidRPr="004B6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пред</w:t>
            </w:r>
            <w:r w:rsidR="00EF0A6D" w:rsidRPr="004B6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оставление информационной услуги</w:t>
            </w:r>
            <w:r w:rsidR="00EF0A6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71D19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</w:t>
            </w:r>
            <w:r w:rsidR="00971D19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2.10.1 постановления Администрации </w:t>
            </w:r>
            <w:r w:rsidR="00971D19" w:rsidRPr="00E52C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71D19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28.07.2020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71D19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1252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71D19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"Об утверждении административного регламента предоставления муниципальной услуги "Предоставление сведений, документов, материалов, содержащихся в информационной системе обеспечения градостроительной деятельности на территории </w:t>
            </w:r>
            <w:r w:rsidR="0082372B" w:rsidRPr="00EF0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r w:rsidR="007862F8" w:rsidRPr="00EF0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372B" w:rsidRPr="00EF0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="00971D19" w:rsidRPr="00EF0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Архангельской области"</w:t>
            </w:r>
          </w:p>
        </w:tc>
      </w:tr>
      <w:tr w:rsidR="00155870" w:rsidRPr="000A3B02" w:rsidTr="00DC1812">
        <w:tc>
          <w:tcPr>
            <w:tcW w:w="713" w:type="dxa"/>
            <w:shd w:val="clear" w:color="auto" w:fill="auto"/>
          </w:tcPr>
          <w:p w:rsidR="00155870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70" w:type="dxa"/>
            <w:shd w:val="clear" w:color="auto" w:fill="auto"/>
          </w:tcPr>
          <w:p w:rsidR="00155870" w:rsidRPr="000A3B02" w:rsidRDefault="00155870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155870" w:rsidRPr="000A3B02" w:rsidRDefault="00155870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155870" w:rsidRPr="000A3B02" w:rsidRDefault="00155870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11302064040000130</w:t>
            </w:r>
          </w:p>
        </w:tc>
        <w:tc>
          <w:tcPr>
            <w:tcW w:w="2072" w:type="dxa"/>
            <w:shd w:val="clear" w:color="auto" w:fill="auto"/>
          </w:tcPr>
          <w:p w:rsidR="00155870" w:rsidRPr="000A3B02" w:rsidRDefault="0037516C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поступающие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порядке возмещения расходов, понесенных 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эксплуатацией имущества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155870" w:rsidRPr="000A3B02" w:rsidRDefault="00B70AD8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усреднения</w:t>
            </w:r>
          </w:p>
        </w:tc>
        <w:tc>
          <w:tcPr>
            <w:tcW w:w="2039" w:type="dxa"/>
            <w:shd w:val="clear" w:color="auto" w:fill="auto"/>
          </w:tcPr>
          <w:p w:rsidR="00155870" w:rsidRPr="000A3B02" w:rsidRDefault="00155870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 xml:space="preserve">тг 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 ВРЭИ</w:t>
            </w:r>
            <w:r w:rsidRPr="000A3B0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 xml:space="preserve">тг-1 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 ВРЭИ</w:t>
            </w:r>
            <w:r w:rsidRPr="000A3B0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>тг-2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):3 +/-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1649" w:type="dxa"/>
            <w:shd w:val="clear" w:color="auto" w:fill="auto"/>
          </w:tcPr>
          <w:p w:rsidR="00155870" w:rsidRPr="000A3B02" w:rsidRDefault="00752BBB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19" w:type="dxa"/>
            <w:shd w:val="clear" w:color="auto" w:fill="auto"/>
          </w:tcPr>
          <w:p w:rsidR="009B3E86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сумма доходов, поступающих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порядке возмещения расходов,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понесенных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эксплуатацией имущества городских округов, прогнозируемая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поступлению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городской бюджет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расчетном году;</w:t>
            </w:r>
          </w:p>
          <w:p w:rsidR="009B3E86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тг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сумма доходов, поступающих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порядке возмещения расходов, понесенных в связи с эксплуатацией имущества городских округов, ожидаемая к поступлению в городской бюджет в текущем году;</w:t>
            </w:r>
          </w:p>
          <w:p w:rsidR="009B3E86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тг-1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ВРЭИ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тг-2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фактическое поступление доходов, поступающих </w:t>
            </w:r>
          </w:p>
          <w:p w:rsidR="009B3E86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порядке возмещения расходов,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понесенных в связи с эксплуатацией имущества городских округов, за два отчетных года, предшествующих текущему;</w:t>
            </w:r>
          </w:p>
          <w:p w:rsidR="009B3E86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 – сумма дополнительных или выпадающих доходов, поступающих </w:t>
            </w:r>
          </w:p>
          <w:p w:rsidR="00155870" w:rsidRPr="000A3B02" w:rsidRDefault="009B3E86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порядке возмещения расходов, понесенных в связи с эксплуатацией имущества городских округов, за счет увеличения (уменьшения) количества арендаторов, изменения планируемого погашения задолженности и иных факторов, оказывающих влияние на изменение суммы дохода.</w:t>
            </w:r>
          </w:p>
        </w:tc>
      </w:tr>
      <w:tr w:rsidR="00026CC4" w:rsidRPr="000A3B02" w:rsidTr="00DC1812">
        <w:tc>
          <w:tcPr>
            <w:tcW w:w="713" w:type="dxa"/>
            <w:shd w:val="clear" w:color="auto" w:fill="auto"/>
          </w:tcPr>
          <w:p w:rsidR="00026CC4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70" w:type="dxa"/>
            <w:shd w:val="clear" w:color="auto" w:fill="auto"/>
          </w:tcPr>
          <w:p w:rsidR="00026CC4" w:rsidRPr="000A3B02" w:rsidRDefault="00026CC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026CC4" w:rsidRPr="000A3B02" w:rsidRDefault="00026CC4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 w:rsidR="00752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026CC4" w:rsidRPr="000A3B02" w:rsidRDefault="00026CC4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11302994040000130</w:t>
            </w:r>
          </w:p>
        </w:tc>
        <w:tc>
          <w:tcPr>
            <w:tcW w:w="2072" w:type="dxa"/>
            <w:shd w:val="clear" w:color="auto" w:fill="auto"/>
          </w:tcPr>
          <w:p w:rsidR="00026CC4" w:rsidRPr="000A3B02" w:rsidRDefault="0037516C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026CC4" w:rsidRPr="000A3B02" w:rsidRDefault="00026CC4" w:rsidP="00E52CB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</w:t>
            </w:r>
            <w:r w:rsidR="00E52C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тся</w:t>
            </w:r>
          </w:p>
        </w:tc>
        <w:tc>
          <w:tcPr>
            <w:tcW w:w="2039" w:type="dxa"/>
            <w:shd w:val="clear" w:color="auto" w:fill="auto"/>
          </w:tcPr>
          <w:p w:rsidR="00026CC4" w:rsidRPr="000A3B02" w:rsidRDefault="0082372B" w:rsidP="0082372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026CC4" w:rsidRPr="000A3B02" w:rsidRDefault="0082372B" w:rsidP="0082372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026CC4" w:rsidRPr="00E52CB2" w:rsidRDefault="00113F15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786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связи с несистемным характером поступлений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не прогнозируются.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BE447F" w:rsidRDefault="00BE447F" w:rsidP="0070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16 0106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4010000</w:t>
            </w: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72" w:type="dxa"/>
            <w:shd w:val="clear" w:color="auto" w:fill="auto"/>
          </w:tcPr>
          <w:p w:rsidR="00BE447F" w:rsidRPr="00BE447F" w:rsidRDefault="00BE447F" w:rsidP="00BE447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</w:t>
            </w: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BE447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 +/</w:t>
            </w:r>
            <w:r w:rsidR="00DD4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49" w:type="dxa"/>
            <w:shd w:val="clear" w:color="auto" w:fill="auto"/>
          </w:tcPr>
          <w:p w:rsidR="00BE447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BE447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прогнозируемый объем доходов, полученных в результате применения мер гражданско-правовой, административной ответственности, в том числе штрафов;</w:t>
            </w:r>
          </w:p>
          <w:p w:rsidR="00BE447F" w:rsidRPr="00E02F42" w:rsidRDefault="00BE447F" w:rsidP="00BE447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прогнозирование.</w:t>
            </w:r>
          </w:p>
          <w:p w:rsidR="00BE447F" w:rsidRPr="004E75AF" w:rsidRDefault="00BE447F" w:rsidP="00BE447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 – сумма дополнительных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11601074010000140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 +/</w:t>
            </w:r>
            <w:r w:rsidR="00DD4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прогнозируемый объем доходов, полученных в результате применения мер гражданско-правовой, административной ответственности, в том числе штрафов;</w:t>
            </w:r>
          </w:p>
          <w:p w:rsidR="00BE447F" w:rsidRPr="00E02F42" w:rsidRDefault="00BE447F" w:rsidP="001E61F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прогнозирование.</w:t>
            </w:r>
          </w:p>
          <w:p w:rsidR="00BE447F" w:rsidRPr="004E75AF" w:rsidRDefault="00BE447F" w:rsidP="001E61F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1160107401003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 +/-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C402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A3B02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прогнозируемый объем доходов, полученных в результате применения мер гражданско-правовой, административно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 ответственности, в том числе штрафов;</w:t>
            </w:r>
          </w:p>
          <w:p w:rsidR="00BE447F" w:rsidRPr="00E02F42" w:rsidRDefault="00BE447F" w:rsidP="00C402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прогнозирование.</w:t>
            </w:r>
          </w:p>
          <w:p w:rsidR="00BE447F" w:rsidRPr="004E75AF" w:rsidRDefault="00BE447F" w:rsidP="00C402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D22D0B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11601144010000140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A318BA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з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D22D0B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прогнозный объем поступлений доходов по штрафам на очередной</w:t>
            </w:r>
          </w:p>
          <w:p w:rsidR="00BE447F" w:rsidRPr="00D22D0B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год;</w:t>
            </w:r>
          </w:p>
          <w:p w:rsidR="00BE447F" w:rsidRPr="00D22D0B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22D0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З</w:t>
            </w: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дебиторская задолженность, фактически сложившаяся по состоянию</w:t>
            </w:r>
          </w:p>
          <w:p w:rsidR="00BE447F" w:rsidRPr="000A3B02" w:rsidRDefault="00BE447F" w:rsidP="00A318B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20 марта 2023 года, реальная к взысканию. Письмо Государственной жилищной инспекции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Архангельской области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20 марта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года № 09-22/48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4E75A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BE447F" w:rsidRPr="004E75AF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D22D0B" w:rsidRDefault="00BE447F" w:rsidP="004E75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11601194010000140</w:t>
            </w:r>
          </w:p>
        </w:tc>
        <w:tc>
          <w:tcPr>
            <w:tcW w:w="2072" w:type="dxa"/>
            <w:shd w:val="clear" w:color="auto" w:fill="auto"/>
          </w:tcPr>
          <w:p w:rsidR="00BE447F" w:rsidRPr="00A318BA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318BA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   установленные     главой    19   Кодекса   Российской  Федерации   об  административных правонарушениях, за административные правонарушения против порядка </w:t>
            </w:r>
            <w:r w:rsidRPr="00A318BA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управления, выявленные должностными лицами органов муниципального контроля</w:t>
            </w:r>
          </w:p>
        </w:tc>
        <w:tc>
          <w:tcPr>
            <w:tcW w:w="1682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E02F4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E02F42" w:rsidRDefault="00BE447F" w:rsidP="00A751A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штрафов на соответствующий финансовый год; </w:t>
            </w: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="00381EDF">
              <w:rPr>
                <w:rFonts w:ascii="Times New Roman" w:hAnsi="Times New Roman"/>
                <w:sz w:val="20"/>
                <w:szCs w:val="20"/>
              </w:rPr>
              <w:br/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прогнозирование.</w:t>
            </w:r>
          </w:p>
          <w:p w:rsidR="00BE447F" w:rsidRPr="004E75AF" w:rsidRDefault="00BE447F" w:rsidP="00A751A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2F1020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4E75A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70" w:type="dxa"/>
            <w:shd w:val="clear" w:color="auto" w:fill="auto"/>
          </w:tcPr>
          <w:p w:rsidR="00BE447F" w:rsidRPr="004E75AF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4E75AF" w:rsidRDefault="00BE447F" w:rsidP="004E75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11602010025000140</w:t>
            </w:r>
          </w:p>
        </w:tc>
        <w:tc>
          <w:tcPr>
            <w:tcW w:w="2072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4E75AF"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правонарушениях, за нарушение законов и иных нормативных правовых актов субъектов Российской Федерации (налагаемые административными комиссиями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75AF">
              <w:rPr>
                <w:rFonts w:ascii="Times New Roman" w:hAnsi="Times New Roman"/>
                <w:sz w:val="20"/>
                <w:szCs w:val="20"/>
              </w:rPr>
              <w:t xml:space="preserve"> зачисляемые в местные бюджеты по нормативу 100 процентов)</w:t>
            </w:r>
          </w:p>
        </w:tc>
        <w:tc>
          <w:tcPr>
            <w:tcW w:w="1682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E02F4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штрафов на соответствующий финансовый год; </w:t>
            </w: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lastRenderedPageBreak/>
              <w:t>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="00381EDF">
              <w:rPr>
                <w:rFonts w:ascii="Times New Roman" w:hAnsi="Times New Roman"/>
                <w:sz w:val="20"/>
                <w:szCs w:val="20"/>
              </w:rPr>
              <w:br/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предшествующему,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  <w:p w:rsidR="00BE447F" w:rsidRPr="002F1020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BE447F" w:rsidRPr="002F1020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2F1020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2F1020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11602010026000140</w:t>
            </w:r>
          </w:p>
        </w:tc>
        <w:tc>
          <w:tcPr>
            <w:tcW w:w="2072" w:type="dxa"/>
            <w:shd w:val="clear" w:color="auto" w:fill="auto"/>
          </w:tcPr>
          <w:p w:rsidR="00BE447F" w:rsidRPr="002F1020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      </w:r>
          </w:p>
        </w:tc>
        <w:tc>
          <w:tcPr>
            <w:tcW w:w="1682" w:type="dxa"/>
            <w:shd w:val="clear" w:color="auto" w:fill="auto"/>
          </w:tcPr>
          <w:p w:rsidR="00BE447F" w:rsidRPr="002F1020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E02F4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штрафов на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соответствующий финансовый год; </w:t>
            </w: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штрафов на соответствующий финансовый год; </w:t>
            </w:r>
            <w:r w:rsidRPr="00E02F42">
              <w:rPr>
                <w:rFonts w:ascii="Times New Roman" w:hAnsi="Times New Roman"/>
                <w:sz w:val="28"/>
                <w:szCs w:val="28"/>
              </w:rPr>
              <w:t>Ш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штрафов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– сумма дополнительных или выпадающих доходов от поступления штрафов за счет изменения бюджетного законодательства, законодательства об административных нарушениях и иных факторов оказывающих влияние на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изменение суммы дохода.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11607010040000140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2F1020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E02F4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 – сумма дополнительных или выпадающих доходов от поступления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платежей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изменения бюджетного законодательства, законодательства об административных нарушениях и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иных факторов оказывающих влияние на изменение суммы дохода.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11607090040000140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2F1020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>платежей (иные штрафы, неустойки, пени)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– сумма дополнительных или выпадающих доходов от поступления штрафов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неустоек, пеней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BE447F" w:rsidRDefault="00BE447F" w:rsidP="0070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1161003104</w:t>
            </w: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2072" w:type="dxa"/>
            <w:shd w:val="clear" w:color="auto" w:fill="auto"/>
          </w:tcPr>
          <w:p w:rsidR="00BE447F" w:rsidRPr="00BE447F" w:rsidRDefault="00BE447F" w:rsidP="00701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4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D04614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Default="00D04614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D04614" w:rsidP="00D0461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2F1020" w:rsidRDefault="00D04614" w:rsidP="00345FE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>платежей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– сумма дополнительных или выпадающих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доходов от поступления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платежей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345FE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040000140</w:t>
            </w:r>
          </w:p>
        </w:tc>
        <w:tc>
          <w:tcPr>
            <w:tcW w:w="2072" w:type="dxa"/>
            <w:shd w:val="clear" w:color="auto" w:fill="auto"/>
          </w:tcPr>
          <w:p w:rsidR="00BE447F" w:rsidRPr="00345FE3" w:rsidRDefault="00BE447F" w:rsidP="00C402A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Прочее в</w:t>
            </w:r>
            <w:r w:rsidRPr="00345FE3">
              <w:rPr>
                <w:rFonts w:ascii="Times New Roman" w:hAnsi="Times New Roman"/>
                <w:sz w:val="20"/>
                <w:szCs w:val="20"/>
              </w:rPr>
              <w:t>озмещение ущерба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45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предприятиями.)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9D6BA9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2F1020" w:rsidRDefault="00BE447F" w:rsidP="00345FE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>платежей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году, в 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– сумма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дополнительных или выпадающих доходов от поступления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платежей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11610061040000140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2F1020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E02F4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>платежей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 предшествующему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году, в котором осуществляется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 – сумма дополнительных или выпадающих доходов от поступления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платежей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изменения бюджетного законодательства, законодательства об административных нарушениях и иных факторов оказывающих вли</w:t>
            </w:r>
            <w:r w:rsidR="00D04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яние на изменение суммы дохода.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11610081040000140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 усреднения</w:t>
            </w:r>
          </w:p>
        </w:tc>
        <w:tc>
          <w:tcPr>
            <w:tcW w:w="2039" w:type="dxa"/>
            <w:shd w:val="clear" w:color="auto" w:fill="auto"/>
          </w:tcPr>
          <w:p w:rsidR="00BE447F" w:rsidRPr="004E75AF" w:rsidRDefault="00BE447F" w:rsidP="002F1020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4E75AF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</w:t>
            </w:r>
            <w:r w:rsidRPr="004E7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+/-Д</w:t>
            </w:r>
          </w:p>
        </w:tc>
        <w:tc>
          <w:tcPr>
            <w:tcW w:w="1649" w:type="dxa"/>
            <w:shd w:val="clear" w:color="auto" w:fill="auto"/>
          </w:tcPr>
          <w:p w:rsidR="00BE447F" w:rsidRPr="004E75AF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E02F4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r w:rsidRPr="002F1020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r w:rsidRPr="002F1020">
              <w:rPr>
                <w:rFonts w:ascii="Times New Roman" w:hAnsi="Times New Roman"/>
                <w:sz w:val="20"/>
                <w:szCs w:val="20"/>
              </w:rPr>
              <w:t xml:space="preserve"> —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прогноз поступления </w:t>
            </w:r>
            <w:r>
              <w:rPr>
                <w:rFonts w:ascii="Times New Roman" w:hAnsi="Times New Roman"/>
                <w:sz w:val="20"/>
                <w:szCs w:val="20"/>
              </w:rPr>
              <w:t>платежей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на соответствующий финансовый год;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02F42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— фактическо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поступление платежей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>за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последних года или за весь период поступления данных доходов в случае если он не превышает 3 года,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 предшествующих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текущему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t xml:space="preserve">году, в </w:t>
            </w:r>
            <w:r w:rsidRPr="00E02F42">
              <w:rPr>
                <w:rFonts w:ascii="Times New Roman" w:hAnsi="Times New Roman"/>
                <w:sz w:val="20"/>
                <w:szCs w:val="20"/>
              </w:rPr>
              <w:lastRenderedPageBreak/>
              <w:t>котором осуществляется прогнозирование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447F" w:rsidRPr="004E75AF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 – сумма дополнительных или выпадающих доходов от поступления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платежей </w:t>
            </w:r>
            <w:r w:rsidRPr="004E7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изменения бюджетного законодательства, законодательства об административных нарушениях и иных факторов оказывающих вли</w:t>
            </w:r>
            <w:r w:rsidR="00D04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яние на изменение суммы дохода.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11610123010041140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1066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 w:rsidRPr="000A1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Д=ДЗ</w:t>
            </w:r>
          </w:p>
        </w:tc>
        <w:tc>
          <w:tcPr>
            <w:tcW w:w="1649" w:type="dxa"/>
            <w:shd w:val="clear" w:color="auto" w:fill="auto"/>
          </w:tcPr>
          <w:p w:rsidR="00BE447F" w:rsidRPr="000A1066" w:rsidRDefault="00BE447F" w:rsidP="00752BBB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E447F" w:rsidRPr="000A1066" w:rsidRDefault="00BE447F" w:rsidP="000A1066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прогнозный объем поступлений доходов по штрафам на очередной</w:t>
            </w:r>
          </w:p>
          <w:p w:rsidR="00BE447F" w:rsidRPr="000A1066" w:rsidRDefault="00BE447F" w:rsidP="000A1066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год;</w:t>
            </w:r>
          </w:p>
          <w:p w:rsidR="00BE447F" w:rsidRPr="000A1066" w:rsidRDefault="00BE447F" w:rsidP="001E61F3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86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</w:t>
            </w: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0A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остаток дебиторской задолженности фактически сложившейся на 1 января  2020 года по состоянию на дату, в которую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осуществляется прогнозирование, реальная к взысканию.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11701040040000180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7862F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193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193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зачисляются в городской бюджет на данный код бюджетной классификации в связи указанием плательщиком некорректных реквизитов при перечислении платежа и подлежат уточнению на соответствующий код бюджетной классификации</w:t>
            </w:r>
            <w:r w:rsidR="00D04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11705040040000180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193931">
            <w:pPr>
              <w:jc w:val="center"/>
              <w:rPr>
                <w:vertAlign w:val="subscript"/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19393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193931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несистемным характером поступлений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доходы не прогнозируются.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20229999040000150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B05D1A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=Р</w:t>
            </w:r>
            <w:r w:rsidRPr="00B05D1A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опс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193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B46F7F" w:rsidRDefault="00BE447F" w:rsidP="008638A1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638A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пс</w:t>
            </w:r>
            <w:r w:rsidRPr="00863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прогнозируемый</w:t>
            </w:r>
            <w:r w:rsidRPr="00B05D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 поступлений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прочих субсидий</w:t>
            </w:r>
            <w:r w:rsidRPr="00B05D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определяется на основании объема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областного бюджета (</w:t>
            </w:r>
            <w:r w:rsidRPr="0086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638A1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опс</w:t>
            </w:r>
            <w:r w:rsidRPr="00863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Данными</w:t>
            </w:r>
            <w:r w:rsidRPr="003E5A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прогнозирования доходов являются уведомления о бюджетных ассигнованиях на текущий финансовый год и на плановый период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20230024040000150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8638A1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=Р</w:t>
            </w:r>
            <w:r w:rsidRPr="00B05D1A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ос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080B3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B46F7F" w:rsidRDefault="00BE447F" w:rsidP="008365E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36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36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рогнозируемый </w:t>
            </w:r>
            <w:r w:rsidRPr="00B05D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поступлений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субвенций</w:t>
            </w:r>
            <w:r w:rsidRPr="00B05D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определяется на основании объема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областного бюджета (</w:t>
            </w:r>
            <w:r w:rsidRPr="00836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Данными</w:t>
            </w:r>
            <w:r w:rsidRPr="003E5A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прогнозирования доходов являются </w:t>
            </w:r>
            <w:r w:rsidRPr="003E5A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уведомления о бюджетных ассигнованиях на текущий финансовый год и на плановый период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20235120040000150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8365E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=Р</w:t>
            </w:r>
            <w:r w:rsidRPr="00B05D1A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ос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080B3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BE447F" w:rsidRDefault="00BE447F" w:rsidP="00BE44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E447F">
              <w:rPr>
                <w:rFonts w:ascii="Times New Roman" w:hAnsi="Times New Roman"/>
                <w:i/>
                <w:sz w:val="20"/>
                <w:szCs w:val="20"/>
                <w:vertAlign w:val="subscript"/>
                <w:lang w:eastAsia="ru-RU"/>
              </w:rPr>
              <w:t xml:space="preserve">с 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- прогнозируемый объем поступлений субвенций определяется на основании объема расходов  областного бюджета (Р</w:t>
            </w:r>
            <w:r w:rsidRPr="00BE447F">
              <w:rPr>
                <w:rFonts w:ascii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ос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). Данными для прогнозирования доходов являются уведомления о бюджетных ассигнованиях на текущий финансовый год и на плановый период.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20249999040000150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3E5A0F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мт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=Р</w:t>
            </w:r>
            <w:r w:rsidRPr="00B05D1A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мт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080B3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D04614" w:rsidRPr="00BE447F" w:rsidRDefault="00BE447F" w:rsidP="00BE44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E447F">
              <w:rPr>
                <w:rFonts w:ascii="Times New Roman" w:hAnsi="Times New Roman"/>
                <w:i/>
                <w:sz w:val="20"/>
                <w:szCs w:val="20"/>
                <w:vertAlign w:val="subscript"/>
                <w:lang w:eastAsia="ru-RU"/>
              </w:rPr>
              <w:t xml:space="preserve">мт </w:t>
            </w:r>
            <w:r w:rsidRPr="00BE447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-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прогнозируемый объем поступлений межбюджетных трансфертов определяется на основании объема расходов  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областного бюджета (Р</w:t>
            </w:r>
            <w:r w:rsidRPr="00BE447F">
              <w:rPr>
                <w:rFonts w:ascii="Times New Roman" w:hAnsi="Times New Roman"/>
                <w:i/>
                <w:sz w:val="20"/>
                <w:szCs w:val="20"/>
                <w:vertAlign w:val="subscript"/>
                <w:lang w:eastAsia="ru-RU"/>
              </w:rPr>
              <w:t>омт)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E44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Данными для прогнозирования доходов являются уведомления </w:t>
            </w:r>
            <w:r w:rsidR="00781CF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бюджетных ассигнованиях </w:t>
            </w:r>
            <w:r w:rsidR="00781CF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текущий финансовый год </w:t>
            </w:r>
            <w:r w:rsidR="00781CF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E447F">
              <w:rPr>
                <w:rFonts w:ascii="Times New Roman" w:hAnsi="Times New Roman"/>
                <w:sz w:val="20"/>
                <w:szCs w:val="20"/>
                <w:lang w:eastAsia="ru-RU"/>
              </w:rPr>
              <w:t>и на плановый пери</w:t>
            </w:r>
            <w:r w:rsidR="00781CFE">
              <w:rPr>
                <w:rFonts w:ascii="Times New Roman" w:hAnsi="Times New Roman"/>
                <w:sz w:val="20"/>
                <w:szCs w:val="20"/>
                <w:lang w:eastAsia="ru-RU"/>
              </w:rPr>
              <w:t>од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20704050040000150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D0461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несистемным характером посту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плений доходы не прогнозируются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DD4295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2180401</w:t>
            </w:r>
            <w:r w:rsidR="00BE447F"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0040001150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34405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бюджетов городских округов от возврата </w:t>
            </w:r>
            <w:r w:rsidR="00344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бюджетными 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учреждениями остатков субсидий прошлых лет</w:t>
            </w:r>
            <w:r w:rsidR="00DD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(средства городского бюджета)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несистемным характером посту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плений доходы не прогнозируются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17200F" w:rsidRDefault="00DD4295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21804020040001150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344054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бюджетов городских округов от возврата </w:t>
            </w:r>
            <w:r w:rsidR="00344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автономными</w:t>
            </w: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 остатков субсидий прошлых лет</w:t>
            </w:r>
            <w:r w:rsidR="00DD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(средства городского бюджета)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47F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D4295" w:rsidRDefault="00DD4295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BE447F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47F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несистемным характером поступлений доходы не прогнозируются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D04614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21935120040000150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1E3B48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несистемным характером посту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плений доходы не прогнозируются</w:t>
            </w:r>
          </w:p>
        </w:tc>
      </w:tr>
      <w:tr w:rsidR="00BE447F" w:rsidRPr="000A3B02" w:rsidTr="00DC1812">
        <w:tc>
          <w:tcPr>
            <w:tcW w:w="713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04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BE447F" w:rsidRPr="000A3B02" w:rsidRDefault="00BE447F" w:rsidP="00DC181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6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977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21960010040000150</w:t>
            </w:r>
          </w:p>
        </w:tc>
        <w:tc>
          <w:tcPr>
            <w:tcW w:w="2072" w:type="dxa"/>
            <w:shd w:val="clear" w:color="auto" w:fill="auto"/>
          </w:tcPr>
          <w:p w:rsidR="00BE447F" w:rsidRPr="000A3B02" w:rsidRDefault="00BE447F" w:rsidP="000A3B02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82" w:type="dxa"/>
            <w:shd w:val="clear" w:color="auto" w:fill="auto"/>
          </w:tcPr>
          <w:p w:rsidR="00BE447F" w:rsidRPr="000A3B02" w:rsidRDefault="00BE447F" w:rsidP="00080B37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прогнозируются</w:t>
            </w:r>
          </w:p>
        </w:tc>
        <w:tc>
          <w:tcPr>
            <w:tcW w:w="2039" w:type="dxa"/>
            <w:shd w:val="clear" w:color="auto" w:fill="auto"/>
          </w:tcPr>
          <w:p w:rsidR="00BE447F" w:rsidRPr="000A3B02" w:rsidRDefault="00BE447F" w:rsidP="005E6A01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49" w:type="dxa"/>
            <w:shd w:val="clear" w:color="auto" w:fill="auto"/>
          </w:tcPr>
          <w:p w:rsidR="00BE447F" w:rsidRPr="000A3B02" w:rsidRDefault="00BE447F" w:rsidP="005E6A01">
            <w:pPr>
              <w:tabs>
                <w:tab w:val="left" w:pos="3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19" w:type="dxa"/>
            <w:shd w:val="clear" w:color="auto" w:fill="auto"/>
          </w:tcPr>
          <w:p w:rsidR="00BE447F" w:rsidRPr="00113F15" w:rsidRDefault="00BE447F" w:rsidP="00D0461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несистемным характером посту</w:t>
            </w:r>
            <w:r w:rsidR="00381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плений доходы не прогнозируются</w:t>
            </w:r>
          </w:p>
        </w:tc>
      </w:tr>
    </w:tbl>
    <w:p w:rsidR="00055D4B" w:rsidRDefault="00055D4B" w:rsidP="00846E3B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C735D" w:rsidRPr="00F97CA5" w:rsidRDefault="001D1356" w:rsidP="00F97CA5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CA5">
        <w:rPr>
          <w:rFonts w:ascii="Times New Roman" w:eastAsia="Times New Roman" w:hAnsi="Times New Roman"/>
          <w:sz w:val="20"/>
          <w:szCs w:val="20"/>
          <w:lang w:eastAsia="ru-RU"/>
        </w:rPr>
        <w:t>В процессе исполнения городского бюджета возможна корректировка прогноза поступления доходов в городской бюджет на сумму превышения (неисполнения) прогноза с учетом фактического объема поступления доходов за истекший период и оценки их поступления до конца текущего финансового года.</w:t>
      </w:r>
    </w:p>
    <w:sectPr w:rsidR="00FC735D" w:rsidRPr="00F97CA5" w:rsidSect="00DC1812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4A" w:rsidRDefault="0001084A">
      <w:pPr>
        <w:spacing w:after="0" w:line="240" w:lineRule="auto"/>
      </w:pPr>
      <w:r>
        <w:separator/>
      </w:r>
    </w:p>
  </w:endnote>
  <w:endnote w:type="continuationSeparator" w:id="0">
    <w:p w:rsidR="0001084A" w:rsidRDefault="0001084A">
      <w:pPr>
        <w:spacing w:after="0" w:line="240" w:lineRule="auto"/>
      </w:pPr>
      <w:r>
        <w:continuationSeparator/>
      </w:r>
    </w:p>
  </w:endnote>
  <w:endnote w:id="1">
    <w:p w:rsidR="00055D4B" w:rsidRDefault="00055D4B" w:rsidP="00F97CA5">
      <w:pPr>
        <w:pStyle w:val="a8"/>
        <w:jc w:val="both"/>
      </w:pPr>
    </w:p>
  </w:endnote>
  <w:endnote w:id="2">
    <w:p w:rsidR="00055D4B" w:rsidRDefault="00055D4B" w:rsidP="00055D4B">
      <w:pPr>
        <w:pStyle w:val="a8"/>
        <w:jc w:val="both"/>
      </w:pPr>
    </w:p>
  </w:endnote>
  <w:endnote w:id="3">
    <w:p w:rsidR="00F97CA5" w:rsidRDefault="00DC1812" w:rsidP="00DC1812">
      <w:pPr>
        <w:pStyle w:val="a8"/>
        <w:jc w:val="center"/>
      </w:pPr>
      <w:r>
        <w:t>____________</w:t>
      </w:r>
    </w:p>
    <w:p w:rsidR="00F97CA5" w:rsidRDefault="00F97CA5" w:rsidP="00F97CA5">
      <w:pPr>
        <w:pStyle w:val="a8"/>
        <w:jc w:val="both"/>
      </w:pPr>
    </w:p>
    <w:p w:rsidR="00055D4B" w:rsidRDefault="00055D4B" w:rsidP="00055D4B">
      <w:pPr>
        <w:pStyle w:val="a8"/>
      </w:pPr>
    </w:p>
  </w:endnote>
  <w:endnote w:id="4">
    <w:p w:rsidR="00055D4B" w:rsidRDefault="00055D4B" w:rsidP="00055D4B">
      <w:pPr>
        <w:pStyle w:val="a8"/>
        <w:jc w:val="both"/>
      </w:pPr>
    </w:p>
  </w:endnote>
  <w:endnote w:id="5">
    <w:p w:rsidR="00055D4B" w:rsidRDefault="00055D4B" w:rsidP="00055D4B">
      <w:pPr>
        <w:pStyle w:val="a8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4A" w:rsidRDefault="0001084A">
      <w:pPr>
        <w:spacing w:after="0" w:line="240" w:lineRule="auto"/>
      </w:pPr>
      <w:r>
        <w:separator/>
      </w:r>
    </w:p>
  </w:footnote>
  <w:footnote w:type="continuationSeparator" w:id="0">
    <w:p w:rsidR="0001084A" w:rsidRDefault="000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62470"/>
      <w:docPartObj>
        <w:docPartGallery w:val="Page Numbers (Top of Page)"/>
        <w:docPartUnique/>
      </w:docPartObj>
    </w:sdtPr>
    <w:sdtEndPr/>
    <w:sdtContent>
      <w:p w:rsidR="00DC1812" w:rsidRDefault="00DC1812">
        <w:pPr>
          <w:pStyle w:val="ac"/>
          <w:jc w:val="center"/>
        </w:pPr>
        <w:r w:rsidRPr="00DC1812">
          <w:rPr>
            <w:rFonts w:ascii="Times New Roman" w:hAnsi="Times New Roman"/>
          </w:rPr>
          <w:fldChar w:fldCharType="begin"/>
        </w:r>
        <w:r w:rsidRPr="00DC1812">
          <w:rPr>
            <w:rFonts w:ascii="Times New Roman" w:hAnsi="Times New Roman"/>
          </w:rPr>
          <w:instrText>PAGE   \* MERGEFORMAT</w:instrText>
        </w:r>
        <w:r w:rsidRPr="00DC1812">
          <w:rPr>
            <w:rFonts w:ascii="Times New Roman" w:hAnsi="Times New Roman"/>
          </w:rPr>
          <w:fldChar w:fldCharType="separate"/>
        </w:r>
        <w:r w:rsidR="003275F3">
          <w:rPr>
            <w:rFonts w:ascii="Times New Roman" w:hAnsi="Times New Roman"/>
            <w:noProof/>
          </w:rPr>
          <w:t>29</w:t>
        </w:r>
        <w:r w:rsidRPr="00DC1812">
          <w:rPr>
            <w:rFonts w:ascii="Times New Roman" w:hAnsi="Times New Roman"/>
          </w:rPr>
          <w:fldChar w:fldCharType="end"/>
        </w:r>
      </w:p>
      <w:tbl>
        <w:tblPr>
          <w:tblW w:w="5081" w:type="pc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 w:firstRow="1" w:lastRow="0" w:firstColumn="1" w:lastColumn="0" w:noHBand="0" w:noVBand="0"/>
        </w:tblPr>
        <w:tblGrid>
          <w:gridCol w:w="712"/>
          <w:gridCol w:w="1070"/>
          <w:gridCol w:w="2006"/>
          <w:gridCol w:w="1977"/>
          <w:gridCol w:w="2072"/>
          <w:gridCol w:w="1682"/>
          <w:gridCol w:w="2039"/>
          <w:gridCol w:w="1649"/>
          <w:gridCol w:w="1819"/>
        </w:tblGrid>
        <w:tr w:rsidR="00DC1812" w:rsidRPr="00DC1812" w:rsidTr="00DC1812">
          <w:tc>
            <w:tcPr>
              <w:tcW w:w="713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№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br/>
                <w:t>п/п</w:t>
              </w:r>
            </w:p>
          </w:tc>
          <w:tc>
            <w:tcPr>
              <w:tcW w:w="1070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Код главного админи</w:t>
              </w:r>
              <w:r w:rsidR="00F36C4F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-ст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ратора доходов</w:t>
              </w:r>
            </w:p>
          </w:tc>
          <w:tc>
            <w:tcPr>
              <w:tcW w:w="2006" w:type="dxa"/>
              <w:shd w:val="clear" w:color="auto" w:fill="auto"/>
              <w:vAlign w:val="center"/>
            </w:tcPr>
            <w:p w:rsidR="00DC1812" w:rsidRPr="00DC1812" w:rsidRDefault="00DC1812" w:rsidP="00F36C4F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Наименование главного администратора доходов</w:t>
              </w:r>
            </w:p>
          </w:tc>
          <w:tc>
            <w:tcPr>
              <w:tcW w:w="1977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КБК 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vertAlign w:val="superscript"/>
                  <w:lang w:eastAsia="ru-RU"/>
                </w:rPr>
                <w:t>1</w:t>
              </w:r>
            </w:p>
          </w:tc>
          <w:tc>
            <w:tcPr>
              <w:tcW w:w="2072" w:type="dxa"/>
              <w:shd w:val="clear" w:color="auto" w:fill="auto"/>
              <w:vAlign w:val="center"/>
            </w:tcPr>
            <w:p w:rsidR="00DC1812" w:rsidRPr="00DC1812" w:rsidRDefault="00DC1812" w:rsidP="00F36C4F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Наименование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br/>
                <w:t>КБК доходов</w:t>
              </w:r>
            </w:p>
          </w:tc>
          <w:tc>
            <w:tcPr>
              <w:tcW w:w="1682" w:type="dxa"/>
              <w:shd w:val="clear" w:color="auto" w:fill="auto"/>
              <w:vAlign w:val="center"/>
            </w:tcPr>
            <w:p w:rsidR="00DC1812" w:rsidRPr="00DC1812" w:rsidRDefault="00DC1812" w:rsidP="00F36C4F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Наименование метода расчета 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vertAlign w:val="superscript"/>
                  <w:lang w:eastAsia="ru-RU"/>
                </w:rPr>
                <w:t>2</w:t>
              </w:r>
            </w:p>
          </w:tc>
          <w:tc>
            <w:tcPr>
              <w:tcW w:w="2039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Формула расчета 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vertAlign w:val="superscript"/>
                  <w:lang w:eastAsia="ru-RU"/>
                </w:rPr>
                <w:t>3</w:t>
              </w:r>
            </w:p>
          </w:tc>
          <w:tc>
            <w:tcPr>
              <w:tcW w:w="1649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Алгоритм расчета 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vertAlign w:val="superscript"/>
                  <w:lang w:eastAsia="ru-RU"/>
                </w:rPr>
                <w:t>4</w:t>
              </w:r>
            </w:p>
          </w:tc>
          <w:tc>
            <w:tcPr>
              <w:tcW w:w="1819" w:type="dxa"/>
              <w:shd w:val="clear" w:color="auto" w:fill="auto"/>
              <w:vAlign w:val="center"/>
            </w:tcPr>
            <w:p w:rsidR="00DC1812" w:rsidRPr="00DC1812" w:rsidRDefault="00DC1812" w:rsidP="00587805">
              <w:pPr>
                <w:tabs>
                  <w:tab w:val="left" w:pos="3924"/>
                </w:tabs>
                <w:overflowPunct w:val="0"/>
                <w:autoSpaceDE w:val="0"/>
                <w:autoSpaceDN w:val="0"/>
                <w:adjustRightInd w:val="0"/>
                <w:spacing w:after="0" w:line="216" w:lineRule="auto"/>
                <w:jc w:val="center"/>
                <w:textAlignment w:val="baseline"/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</w:pPr>
              <w:r w:rsidRPr="00DC1812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Описание показателей </w:t>
              </w:r>
              <w:r w:rsidRPr="00DC1812">
                <w:rPr>
                  <w:rFonts w:ascii="Times New Roman" w:eastAsia="Times New Roman" w:hAnsi="Times New Roman"/>
                  <w:sz w:val="20"/>
                  <w:szCs w:val="24"/>
                  <w:vertAlign w:val="superscript"/>
                  <w:lang w:eastAsia="ru-RU"/>
                </w:rPr>
                <w:t>5</w:t>
              </w:r>
            </w:p>
          </w:tc>
        </w:tr>
      </w:tbl>
      <w:p w:rsidR="00DC1812" w:rsidRPr="00DC1812" w:rsidRDefault="003275F3" w:rsidP="00DC1812">
        <w:pPr>
          <w:pStyle w:val="ac"/>
          <w:spacing w:after="0" w:line="240" w:lineRule="auto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020"/>
    <w:multiLevelType w:val="hybridMultilevel"/>
    <w:tmpl w:val="A35EF1C6"/>
    <w:lvl w:ilvl="0" w:tplc="244E4710">
      <w:start w:val="1"/>
      <w:numFmt w:val="decimal"/>
      <w:lvlText w:val="%1."/>
      <w:lvlJc w:val="left"/>
      <w:pPr>
        <w:ind w:left="10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05A5CBA"/>
    <w:multiLevelType w:val="hybridMultilevel"/>
    <w:tmpl w:val="03CADB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4F6501"/>
    <w:multiLevelType w:val="hybridMultilevel"/>
    <w:tmpl w:val="2A4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35605"/>
    <w:multiLevelType w:val="hybridMultilevel"/>
    <w:tmpl w:val="6C4636F2"/>
    <w:lvl w:ilvl="0" w:tplc="CCAA54B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5A690D"/>
    <w:multiLevelType w:val="hybridMultilevel"/>
    <w:tmpl w:val="22AEEFAE"/>
    <w:lvl w:ilvl="0" w:tplc="87BA8D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790513"/>
    <w:multiLevelType w:val="hybridMultilevel"/>
    <w:tmpl w:val="632CF006"/>
    <w:lvl w:ilvl="0" w:tplc="8FECD1B4">
      <w:start w:val="1"/>
      <w:numFmt w:val="decimal"/>
      <w:lvlText w:val="%1."/>
      <w:lvlJc w:val="left"/>
      <w:pPr>
        <w:ind w:left="1215" w:hanging="51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154B82"/>
    <w:multiLevelType w:val="hybridMultilevel"/>
    <w:tmpl w:val="B49EC7A2"/>
    <w:lvl w:ilvl="0" w:tplc="B8E26E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BDD"/>
    <w:multiLevelType w:val="hybridMultilevel"/>
    <w:tmpl w:val="80CEBE0C"/>
    <w:lvl w:ilvl="0" w:tplc="EC3AF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255"/>
    <w:multiLevelType w:val="hybridMultilevel"/>
    <w:tmpl w:val="9CBE958C"/>
    <w:lvl w:ilvl="0" w:tplc="8872F3F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1D24F2"/>
    <w:multiLevelType w:val="hybridMultilevel"/>
    <w:tmpl w:val="C3BA4E94"/>
    <w:lvl w:ilvl="0" w:tplc="D9D2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10"/>
    <w:rsid w:val="0001084A"/>
    <w:rsid w:val="0001793F"/>
    <w:rsid w:val="00022B69"/>
    <w:rsid w:val="00026CC4"/>
    <w:rsid w:val="00030410"/>
    <w:rsid w:val="00055D4B"/>
    <w:rsid w:val="00071F96"/>
    <w:rsid w:val="00080B37"/>
    <w:rsid w:val="00084EDB"/>
    <w:rsid w:val="00086024"/>
    <w:rsid w:val="00096C49"/>
    <w:rsid w:val="000A1066"/>
    <w:rsid w:val="000A3B02"/>
    <w:rsid w:val="000A5FCB"/>
    <w:rsid w:val="000B6D3F"/>
    <w:rsid w:val="000C55C7"/>
    <w:rsid w:val="000D311D"/>
    <w:rsid w:val="000D6336"/>
    <w:rsid w:val="000D7D5B"/>
    <w:rsid w:val="000F60AB"/>
    <w:rsid w:val="00113F15"/>
    <w:rsid w:val="00115484"/>
    <w:rsid w:val="00141912"/>
    <w:rsid w:val="00153822"/>
    <w:rsid w:val="00155870"/>
    <w:rsid w:val="00161F6B"/>
    <w:rsid w:val="0017200F"/>
    <w:rsid w:val="00193931"/>
    <w:rsid w:val="001A3512"/>
    <w:rsid w:val="001B0118"/>
    <w:rsid w:val="001B2AA8"/>
    <w:rsid w:val="001B2AC3"/>
    <w:rsid w:val="001D1356"/>
    <w:rsid w:val="001D22BC"/>
    <w:rsid w:val="001E00E3"/>
    <w:rsid w:val="001E3B48"/>
    <w:rsid w:val="001E61F3"/>
    <w:rsid w:val="0020793C"/>
    <w:rsid w:val="0021603A"/>
    <w:rsid w:val="00224C2B"/>
    <w:rsid w:val="0024698C"/>
    <w:rsid w:val="00257117"/>
    <w:rsid w:val="002756D0"/>
    <w:rsid w:val="00275F25"/>
    <w:rsid w:val="00277AEA"/>
    <w:rsid w:val="0028520C"/>
    <w:rsid w:val="002A6EED"/>
    <w:rsid w:val="002B4A7D"/>
    <w:rsid w:val="002B7B9B"/>
    <w:rsid w:val="002E7FDD"/>
    <w:rsid w:val="002F1020"/>
    <w:rsid w:val="00304B08"/>
    <w:rsid w:val="003275F3"/>
    <w:rsid w:val="00332A01"/>
    <w:rsid w:val="00342E6A"/>
    <w:rsid w:val="00344054"/>
    <w:rsid w:val="00345FE3"/>
    <w:rsid w:val="0035032B"/>
    <w:rsid w:val="003606DB"/>
    <w:rsid w:val="00363F63"/>
    <w:rsid w:val="00365062"/>
    <w:rsid w:val="0037516C"/>
    <w:rsid w:val="00380D3A"/>
    <w:rsid w:val="00381EDF"/>
    <w:rsid w:val="003C534C"/>
    <w:rsid w:val="003D3B6D"/>
    <w:rsid w:val="003E5A0F"/>
    <w:rsid w:val="003F0185"/>
    <w:rsid w:val="0040485F"/>
    <w:rsid w:val="00410277"/>
    <w:rsid w:val="00417738"/>
    <w:rsid w:val="0041799A"/>
    <w:rsid w:val="0042240B"/>
    <w:rsid w:val="00434296"/>
    <w:rsid w:val="00443327"/>
    <w:rsid w:val="0045185B"/>
    <w:rsid w:val="00484C58"/>
    <w:rsid w:val="004A5509"/>
    <w:rsid w:val="004A58D0"/>
    <w:rsid w:val="004B6E31"/>
    <w:rsid w:val="004D18EF"/>
    <w:rsid w:val="004E75AF"/>
    <w:rsid w:val="00524584"/>
    <w:rsid w:val="005247A7"/>
    <w:rsid w:val="005256D8"/>
    <w:rsid w:val="00527060"/>
    <w:rsid w:val="005315CC"/>
    <w:rsid w:val="005803C2"/>
    <w:rsid w:val="00593A40"/>
    <w:rsid w:val="0059501A"/>
    <w:rsid w:val="005A3E3C"/>
    <w:rsid w:val="005B7247"/>
    <w:rsid w:val="005E6A01"/>
    <w:rsid w:val="005E7F68"/>
    <w:rsid w:val="005F0526"/>
    <w:rsid w:val="00615965"/>
    <w:rsid w:val="0061721B"/>
    <w:rsid w:val="006518E9"/>
    <w:rsid w:val="006579AD"/>
    <w:rsid w:val="0066374B"/>
    <w:rsid w:val="0069320F"/>
    <w:rsid w:val="006A7FDA"/>
    <w:rsid w:val="006C4E3C"/>
    <w:rsid w:val="006F2C70"/>
    <w:rsid w:val="00701509"/>
    <w:rsid w:val="007217CE"/>
    <w:rsid w:val="007235A9"/>
    <w:rsid w:val="00740790"/>
    <w:rsid w:val="0074330D"/>
    <w:rsid w:val="00750CD1"/>
    <w:rsid w:val="00752BBB"/>
    <w:rsid w:val="00761FCF"/>
    <w:rsid w:val="00781569"/>
    <w:rsid w:val="00781CFE"/>
    <w:rsid w:val="007852B3"/>
    <w:rsid w:val="007862F8"/>
    <w:rsid w:val="00793E30"/>
    <w:rsid w:val="007B3076"/>
    <w:rsid w:val="007C2A7A"/>
    <w:rsid w:val="007C3201"/>
    <w:rsid w:val="007D0914"/>
    <w:rsid w:val="007D13E0"/>
    <w:rsid w:val="007F1A0A"/>
    <w:rsid w:val="008047CE"/>
    <w:rsid w:val="00814513"/>
    <w:rsid w:val="00817A0E"/>
    <w:rsid w:val="0082372B"/>
    <w:rsid w:val="008275CE"/>
    <w:rsid w:val="008365E7"/>
    <w:rsid w:val="008402A7"/>
    <w:rsid w:val="00846E3B"/>
    <w:rsid w:val="00851A79"/>
    <w:rsid w:val="008638A1"/>
    <w:rsid w:val="00876A4E"/>
    <w:rsid w:val="00881890"/>
    <w:rsid w:val="008933D6"/>
    <w:rsid w:val="008A598E"/>
    <w:rsid w:val="008F0D05"/>
    <w:rsid w:val="0090460B"/>
    <w:rsid w:val="0091578E"/>
    <w:rsid w:val="00930286"/>
    <w:rsid w:val="00940B4A"/>
    <w:rsid w:val="00947260"/>
    <w:rsid w:val="00947EC0"/>
    <w:rsid w:val="00956E77"/>
    <w:rsid w:val="00971D19"/>
    <w:rsid w:val="00991AB7"/>
    <w:rsid w:val="0099482C"/>
    <w:rsid w:val="009B3E86"/>
    <w:rsid w:val="009B6C24"/>
    <w:rsid w:val="009D6BA9"/>
    <w:rsid w:val="009D7333"/>
    <w:rsid w:val="009F47A1"/>
    <w:rsid w:val="00A12D5B"/>
    <w:rsid w:val="00A318BA"/>
    <w:rsid w:val="00A55211"/>
    <w:rsid w:val="00A65358"/>
    <w:rsid w:val="00A660BF"/>
    <w:rsid w:val="00A71E74"/>
    <w:rsid w:val="00A751A4"/>
    <w:rsid w:val="00A923EE"/>
    <w:rsid w:val="00AA6D8A"/>
    <w:rsid w:val="00AE071B"/>
    <w:rsid w:val="00AF6458"/>
    <w:rsid w:val="00B05D1A"/>
    <w:rsid w:val="00B1140A"/>
    <w:rsid w:val="00B1267E"/>
    <w:rsid w:val="00B139E3"/>
    <w:rsid w:val="00B308A5"/>
    <w:rsid w:val="00B3464C"/>
    <w:rsid w:val="00B44003"/>
    <w:rsid w:val="00B46A14"/>
    <w:rsid w:val="00B46F7F"/>
    <w:rsid w:val="00B523E9"/>
    <w:rsid w:val="00B57515"/>
    <w:rsid w:val="00B70AD8"/>
    <w:rsid w:val="00B7221C"/>
    <w:rsid w:val="00B744DC"/>
    <w:rsid w:val="00B77F6A"/>
    <w:rsid w:val="00B84C1C"/>
    <w:rsid w:val="00B86C9D"/>
    <w:rsid w:val="00BA3A3D"/>
    <w:rsid w:val="00BB09FF"/>
    <w:rsid w:val="00BB0A1E"/>
    <w:rsid w:val="00BB11BD"/>
    <w:rsid w:val="00BB32C9"/>
    <w:rsid w:val="00BB4F29"/>
    <w:rsid w:val="00BC6CB2"/>
    <w:rsid w:val="00BE1B1D"/>
    <w:rsid w:val="00BE447F"/>
    <w:rsid w:val="00BE7BC6"/>
    <w:rsid w:val="00C169F9"/>
    <w:rsid w:val="00C402AF"/>
    <w:rsid w:val="00C40CE6"/>
    <w:rsid w:val="00C53BC2"/>
    <w:rsid w:val="00C57715"/>
    <w:rsid w:val="00C803E8"/>
    <w:rsid w:val="00C8590C"/>
    <w:rsid w:val="00CA291E"/>
    <w:rsid w:val="00CA76E0"/>
    <w:rsid w:val="00CA7FD2"/>
    <w:rsid w:val="00CB14F3"/>
    <w:rsid w:val="00CB3F08"/>
    <w:rsid w:val="00CC1B0D"/>
    <w:rsid w:val="00CC2543"/>
    <w:rsid w:val="00CD691B"/>
    <w:rsid w:val="00CF5365"/>
    <w:rsid w:val="00D04614"/>
    <w:rsid w:val="00D22D0B"/>
    <w:rsid w:val="00D36EA9"/>
    <w:rsid w:val="00D46389"/>
    <w:rsid w:val="00D60DF1"/>
    <w:rsid w:val="00D72439"/>
    <w:rsid w:val="00D7533C"/>
    <w:rsid w:val="00DC1812"/>
    <w:rsid w:val="00DD4295"/>
    <w:rsid w:val="00E02F42"/>
    <w:rsid w:val="00E05A4A"/>
    <w:rsid w:val="00E07ED1"/>
    <w:rsid w:val="00E3734F"/>
    <w:rsid w:val="00E418F0"/>
    <w:rsid w:val="00E44D7D"/>
    <w:rsid w:val="00E52CB2"/>
    <w:rsid w:val="00E54D2F"/>
    <w:rsid w:val="00E6534E"/>
    <w:rsid w:val="00EA1ED4"/>
    <w:rsid w:val="00EB247A"/>
    <w:rsid w:val="00EE2A44"/>
    <w:rsid w:val="00EF0A6D"/>
    <w:rsid w:val="00F231E0"/>
    <w:rsid w:val="00F36C4F"/>
    <w:rsid w:val="00F656B5"/>
    <w:rsid w:val="00F715A0"/>
    <w:rsid w:val="00F942FD"/>
    <w:rsid w:val="00F97CA5"/>
    <w:rsid w:val="00FC735D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8933D6"/>
    <w:pPr>
      <w:spacing w:before="100" w:beforeAutospacing="1" w:after="100" w:afterAutospacing="1" w:line="450" w:lineRule="atLeast"/>
      <w:outlineLvl w:val="1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C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35032B"/>
  </w:style>
  <w:style w:type="character" w:styleId="a3">
    <w:name w:val="Hyperlink"/>
    <w:uiPriority w:val="99"/>
    <w:semiHidden/>
    <w:unhideWhenUsed/>
    <w:rsid w:val="0035032B"/>
    <w:rPr>
      <w:color w:val="0000FF"/>
      <w:u w:val="single"/>
    </w:rPr>
  </w:style>
  <w:style w:type="character" w:customStyle="1" w:styleId="20">
    <w:name w:val="Заголовок 2 Знак"/>
    <w:link w:val="2"/>
    <w:rsid w:val="008933D6"/>
    <w:rPr>
      <w:rFonts w:ascii="Times New Roman" w:eastAsia="Times New Roman" w:hAnsi="Times New Roman"/>
      <w:sz w:val="32"/>
      <w:szCs w:val="32"/>
    </w:rPr>
  </w:style>
  <w:style w:type="paragraph" w:styleId="a4">
    <w:name w:val="Normal (Web)"/>
    <w:basedOn w:val="a"/>
    <w:unhideWhenUsed/>
    <w:rsid w:val="00893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8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A58D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C40CE6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055D4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link w:val="a8"/>
    <w:uiPriority w:val="99"/>
    <w:semiHidden/>
    <w:rsid w:val="00055D4B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rsid w:val="00055D4B"/>
    <w:rPr>
      <w:rFonts w:cs="Times New Roman"/>
      <w:vertAlign w:val="superscript"/>
    </w:rPr>
  </w:style>
  <w:style w:type="table" w:styleId="ab">
    <w:name w:val="Table Grid"/>
    <w:basedOn w:val="a1"/>
    <w:uiPriority w:val="59"/>
    <w:rsid w:val="0037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73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735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73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73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8933D6"/>
    <w:pPr>
      <w:spacing w:before="100" w:beforeAutospacing="1" w:after="100" w:afterAutospacing="1" w:line="450" w:lineRule="atLeast"/>
      <w:outlineLvl w:val="1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C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35032B"/>
  </w:style>
  <w:style w:type="character" w:styleId="a3">
    <w:name w:val="Hyperlink"/>
    <w:uiPriority w:val="99"/>
    <w:semiHidden/>
    <w:unhideWhenUsed/>
    <w:rsid w:val="0035032B"/>
    <w:rPr>
      <w:color w:val="0000FF"/>
      <w:u w:val="single"/>
    </w:rPr>
  </w:style>
  <w:style w:type="character" w:customStyle="1" w:styleId="20">
    <w:name w:val="Заголовок 2 Знак"/>
    <w:link w:val="2"/>
    <w:rsid w:val="008933D6"/>
    <w:rPr>
      <w:rFonts w:ascii="Times New Roman" w:eastAsia="Times New Roman" w:hAnsi="Times New Roman"/>
      <w:sz w:val="32"/>
      <w:szCs w:val="32"/>
    </w:rPr>
  </w:style>
  <w:style w:type="paragraph" w:styleId="a4">
    <w:name w:val="Normal (Web)"/>
    <w:basedOn w:val="a"/>
    <w:unhideWhenUsed/>
    <w:rsid w:val="00893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8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A58D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C40CE6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055D4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link w:val="a8"/>
    <w:uiPriority w:val="99"/>
    <w:semiHidden/>
    <w:rsid w:val="00055D4B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rsid w:val="00055D4B"/>
    <w:rPr>
      <w:rFonts w:cs="Times New Roman"/>
      <w:vertAlign w:val="superscript"/>
    </w:rPr>
  </w:style>
  <w:style w:type="table" w:styleId="ab">
    <w:name w:val="Table Grid"/>
    <w:basedOn w:val="a1"/>
    <w:uiPriority w:val="59"/>
    <w:rsid w:val="0037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73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735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73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7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A60A-664A-4589-B012-B15E3D56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Залывская</dc:creator>
  <cp:lastModifiedBy>Любовь Федоровна Фадеева</cp:lastModifiedBy>
  <cp:revision>2</cp:revision>
  <cp:lastPrinted>2022-03-25T11:30:00Z</cp:lastPrinted>
  <dcterms:created xsi:type="dcterms:W3CDTF">2024-04-24T07:39:00Z</dcterms:created>
  <dcterms:modified xsi:type="dcterms:W3CDTF">2024-04-24T07:39:00Z</dcterms:modified>
</cp:coreProperties>
</file>