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73AAC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2023 г. №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1125</w:t>
      </w:r>
    </w:p>
    <w:p w:rsidR="00DE1DE1" w:rsidRDefault="00DE1DE1" w:rsidP="00DE1DE1">
      <w:pPr>
        <w:pStyle w:val="ConsPlusNormal"/>
        <w:jc w:val="center"/>
      </w:pPr>
    </w:p>
    <w:p w:rsidR="00C73AAC" w:rsidRPr="00C73AAC" w:rsidRDefault="00C73AAC" w:rsidP="00C73AAC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C73AAC" w:rsidRPr="00C73AAC" w:rsidRDefault="00C73AAC" w:rsidP="00BA37F1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AAC">
        <w:rPr>
          <w:rFonts w:ascii="Times New Roman" w:hAnsi="Times New Roman"/>
          <w:b/>
          <w:sz w:val="28"/>
          <w:szCs w:val="28"/>
        </w:rPr>
        <w:t>Основные виды разрешенного использования земельных участков</w:t>
      </w:r>
      <w:r w:rsidRPr="00C73AAC">
        <w:rPr>
          <w:rFonts w:ascii="Times New Roman" w:hAnsi="Times New Roman"/>
          <w:b/>
          <w:sz w:val="28"/>
          <w:szCs w:val="28"/>
        </w:rPr>
        <w:br/>
        <w:t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C73AAC" w:rsidRPr="00C73AAC" w:rsidRDefault="00C73AAC" w:rsidP="00BA37F1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AAC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</w:t>
      </w:r>
      <w:r w:rsidRPr="00C73AAC">
        <w:rPr>
          <w:rFonts w:ascii="Times New Roman" w:hAnsi="Times New Roman"/>
          <w:b/>
          <w:sz w:val="28"/>
          <w:szCs w:val="28"/>
        </w:rPr>
        <w:br/>
        <w:t xml:space="preserve">ул. Комсомольская, просп. Обводный канал, ул. Суворова, ул. Самойло площадью 1,0035 га, с местоположением и в границах согласно приложению </w:t>
      </w:r>
      <w:r w:rsidRPr="00C73AAC">
        <w:rPr>
          <w:rFonts w:ascii="Times New Roman" w:hAnsi="Times New Roman"/>
          <w:b/>
          <w:sz w:val="28"/>
          <w:szCs w:val="28"/>
        </w:rPr>
        <w:br/>
        <w:t>№ 1 (Территория 1);</w:t>
      </w:r>
    </w:p>
    <w:p w:rsidR="00C73AAC" w:rsidRPr="00C73AAC" w:rsidRDefault="00C73AAC" w:rsidP="00BA37F1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AAC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</w:t>
      </w:r>
      <w:r w:rsidRPr="00C73AAC">
        <w:rPr>
          <w:rFonts w:ascii="Times New Roman" w:hAnsi="Times New Roman"/>
          <w:b/>
          <w:sz w:val="28"/>
          <w:szCs w:val="28"/>
        </w:rPr>
        <w:br/>
        <w:t xml:space="preserve">просп. Ломоносова, ул. Комсомольская, ул. Самойло, ул. Карельская площадью 0,9045 га, с местоположением и в границах согласно приложению </w:t>
      </w:r>
      <w:r w:rsidRPr="00C73AAC">
        <w:rPr>
          <w:rFonts w:ascii="Times New Roman" w:hAnsi="Times New Roman"/>
          <w:b/>
          <w:sz w:val="28"/>
          <w:szCs w:val="28"/>
        </w:rPr>
        <w:br/>
        <w:t>№ 1 (Территория 2),</w:t>
      </w:r>
    </w:p>
    <w:p w:rsidR="00C73AAC" w:rsidRPr="00C73AAC" w:rsidRDefault="00C73AAC" w:rsidP="00BA37F1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AC">
        <w:rPr>
          <w:rFonts w:ascii="Times New Roman" w:hAnsi="Times New Roman"/>
          <w:b/>
          <w:sz w:val="28"/>
          <w:szCs w:val="28"/>
        </w:rPr>
        <w:t>а также предельные параметры разрешенного строительства, реконструкции объектов капитального строительства:</w:t>
      </w:r>
    </w:p>
    <w:p w:rsidR="00C73AAC" w:rsidRPr="00C73AAC" w:rsidRDefault="00C73AAC" w:rsidP="00C73AAC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C73AAC" w:rsidRPr="00C73AAC" w:rsidTr="00BA37F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Основные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виды</w:t>
            </w:r>
          </w:p>
          <w:p w:rsidR="00C73AAC" w:rsidRPr="00C73AAC" w:rsidRDefault="00BA37F1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73AAC" w:rsidRPr="00C73AAC">
              <w:rPr>
                <w:szCs w:val="28"/>
              </w:rPr>
              <w:t>азрешенного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Код</w:t>
            </w:r>
          </w:p>
          <w:p w:rsidR="00C73AAC" w:rsidRPr="00C73AAC" w:rsidRDefault="00BA37F1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73AAC" w:rsidRPr="00C73AAC">
              <w:rPr>
                <w:szCs w:val="28"/>
              </w:rPr>
              <w:t>азрешенного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использования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&lt;*&gt;</w:t>
            </w:r>
          </w:p>
        </w:tc>
      </w:tr>
      <w:tr w:rsidR="00C73AAC" w:rsidRPr="00C73AAC" w:rsidTr="00BA37F1">
        <w:tc>
          <w:tcPr>
            <w:tcW w:w="2376" w:type="dxa"/>
            <w:tcBorders>
              <w:top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Минимальный размер земельного участка – </w:t>
            </w:r>
            <w:r w:rsidRPr="00C73AAC">
              <w:rPr>
                <w:szCs w:val="28"/>
              </w:rPr>
              <w:br/>
              <w:t xml:space="preserve">1 200 кв. м. 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8.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40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доля озеленения территории – 15</w:t>
            </w:r>
            <w:r w:rsidR="00BA37F1">
              <w:rPr>
                <w:szCs w:val="28"/>
              </w:rPr>
              <w:t xml:space="preserve"> %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2.5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Минимальный размер земельного участка – 1 500 кв. м. 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16.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60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</w:t>
            </w:r>
            <w:r w:rsidR="00BA37F1">
              <w:rPr>
                <w:szCs w:val="28"/>
              </w:rPr>
              <w:t>оля озеленения территории – 15%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</w:p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2.6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Бытовое обслуживание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– 500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lastRenderedPageBreak/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Предельное количество надземных этажей – 8 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40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доля озеленения территории – 15</w:t>
            </w:r>
            <w:r w:rsidR="00BA37F1">
              <w:rPr>
                <w:szCs w:val="28"/>
              </w:rPr>
              <w:t xml:space="preserve">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lastRenderedPageBreak/>
              <w:t>3.3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до 100 мест – 44 кв. м на место;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свыше 100 мест – 38 кв. м на место.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30 до 170 учащихся – 80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170 до 340 учащихся – 55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340 до 510 учащихся – 40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510 до 660 учащихся – 35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660 до 1 000 учащихся – 28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 1 000 до 1 500 учащихся – 24 кв. м на учащегося;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свыше 1 500 учащихся – 22 кв. м на учащегося.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8.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40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</w:t>
            </w:r>
            <w:r w:rsidR="00BA37F1">
              <w:rPr>
                <w:szCs w:val="28"/>
              </w:rPr>
              <w:t>оля озеленения территории – 15 %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3.5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до 3 машин – 5000 кв. м;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от 4 до 6 машин – 9 000 кв. м;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от 8 до 10 машин – 18 000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BA37F1">
              <w:rPr>
                <w:szCs w:val="28"/>
              </w:rPr>
              <w:br/>
            </w:r>
            <w:r w:rsidRPr="00C73AAC">
              <w:rPr>
                <w:szCs w:val="28"/>
              </w:rPr>
              <w:t>5 000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– не подлежит установлению.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доля озеленения территории – 15</w:t>
            </w:r>
            <w:r w:rsidR="00BA37F1">
              <w:rPr>
                <w:szCs w:val="28"/>
              </w:rPr>
              <w:t xml:space="preserve">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8.3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– 500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</w:t>
            </w:r>
            <w:r w:rsidR="00BA37F1">
              <w:rPr>
                <w:szCs w:val="28"/>
              </w:rPr>
              <w:t xml:space="preserve">е размеры земельного участка – </w:t>
            </w:r>
            <w:r w:rsidRPr="00C73AAC">
              <w:rPr>
                <w:szCs w:val="28"/>
              </w:rPr>
              <w:t>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Максимальный процент застройки в границах земельного </w:t>
            </w:r>
            <w:r w:rsidRPr="00C73AAC">
              <w:rPr>
                <w:szCs w:val="28"/>
              </w:rPr>
              <w:lastRenderedPageBreak/>
              <w:t>участка – 50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8.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40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</w:t>
            </w:r>
            <w:r w:rsidR="00BA37F1">
              <w:rPr>
                <w:szCs w:val="28"/>
              </w:rPr>
              <w:t>оля озеленения территории – 15 %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lastRenderedPageBreak/>
              <w:t>4.4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участка: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при числе мест до 100 – 0,2 га на объект;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при числе мест свыше 100 до 150 – 0,15 га на объект;</w:t>
            </w:r>
          </w:p>
          <w:p w:rsidR="00C73AAC" w:rsidRPr="00C73AAC" w:rsidRDefault="00C73AAC" w:rsidP="00BA37F1">
            <w:pPr>
              <w:pStyle w:val="a5"/>
              <w:spacing w:after="0" w:line="240" w:lineRule="auto"/>
              <w:ind w:firstLine="318"/>
              <w:rPr>
                <w:szCs w:val="28"/>
              </w:rPr>
            </w:pPr>
            <w:r w:rsidRPr="00C73AAC">
              <w:rPr>
                <w:szCs w:val="28"/>
              </w:rPr>
              <w:t>при числе ме</w:t>
            </w:r>
            <w:r w:rsidR="00BA37F1">
              <w:rPr>
                <w:szCs w:val="28"/>
              </w:rPr>
              <w:t>ст свыше 150 – 0,1 га на объект.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8.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не более 40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доля озеленения территории – 15</w:t>
            </w:r>
            <w:r w:rsidR="00BA37F1">
              <w:rPr>
                <w:szCs w:val="28"/>
              </w:rPr>
              <w:t xml:space="preserve">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4.6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– 100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Максимальные размеры земельного участка – 11 700 кв.</w:t>
            </w:r>
            <w:r w:rsidR="00BA37F1">
              <w:rPr>
                <w:szCs w:val="28"/>
              </w:rPr>
              <w:t xml:space="preserve"> </w:t>
            </w:r>
            <w:r w:rsidRPr="00C73AAC">
              <w:rPr>
                <w:szCs w:val="28"/>
              </w:rPr>
              <w:t>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Предельная высота объекта – не подлежит установлению.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Минимальная д</w:t>
            </w:r>
            <w:r w:rsidR="00BA37F1">
              <w:rPr>
                <w:szCs w:val="28"/>
              </w:rPr>
              <w:t>оля озеленения территории – 15 %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5.0</w:t>
            </w:r>
          </w:p>
        </w:tc>
      </w:tr>
      <w:tr w:rsidR="00C73AAC" w:rsidRPr="00C73AAC" w:rsidTr="00BA37F1">
        <w:tc>
          <w:tcPr>
            <w:tcW w:w="2376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Минимальные размеры земельного участка – 100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>Максимальны</w:t>
            </w:r>
            <w:r w:rsidR="00BA37F1">
              <w:rPr>
                <w:szCs w:val="28"/>
              </w:rPr>
              <w:t xml:space="preserve">е размеры земельного участка – </w:t>
            </w:r>
            <w:r w:rsidRPr="00C73AAC">
              <w:rPr>
                <w:szCs w:val="28"/>
              </w:rPr>
              <w:t>11 700 кв. м.</w:t>
            </w:r>
          </w:p>
          <w:p w:rsidR="00C73AAC" w:rsidRPr="00C73AAC" w:rsidRDefault="00C73AAC" w:rsidP="00C73AAC">
            <w:pPr>
              <w:pStyle w:val="a5"/>
              <w:spacing w:after="0" w:line="240" w:lineRule="auto"/>
              <w:rPr>
                <w:szCs w:val="28"/>
              </w:rPr>
            </w:pPr>
            <w:r w:rsidRPr="00C73AAC">
              <w:rPr>
                <w:szCs w:val="28"/>
              </w:rPr>
              <w:t xml:space="preserve">Минимальные отступы от границ земельного участка </w:t>
            </w:r>
            <w:r w:rsidR="00BA37F1">
              <w:rPr>
                <w:szCs w:val="28"/>
              </w:rPr>
              <w:br/>
            </w:r>
            <w:r w:rsidRPr="00C73AAC">
              <w:rPr>
                <w:szCs w:val="28"/>
              </w:rPr>
              <w:t xml:space="preserve"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</w:t>
            </w:r>
            <w:r w:rsidR="00BA37F1">
              <w:rPr>
                <w:szCs w:val="28"/>
              </w:rPr>
              <w:br/>
              <w:t>не подлежат установлению</w:t>
            </w:r>
          </w:p>
        </w:tc>
        <w:tc>
          <w:tcPr>
            <w:tcW w:w="2091" w:type="dxa"/>
          </w:tcPr>
          <w:p w:rsidR="00C73AAC" w:rsidRPr="00C73AAC" w:rsidRDefault="00C73AAC" w:rsidP="00C73AAC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C73AAC">
              <w:rPr>
                <w:szCs w:val="28"/>
              </w:rPr>
              <w:t>12.0.2</w:t>
            </w:r>
          </w:p>
        </w:tc>
      </w:tr>
    </w:tbl>
    <w:p w:rsidR="00C73AAC" w:rsidRPr="00C73AAC" w:rsidRDefault="00C73AAC" w:rsidP="00C73AAC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C73AAC" w:rsidRPr="00C73AAC" w:rsidRDefault="00C73AAC" w:rsidP="00C73AAC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C73AAC">
        <w:rPr>
          <w:rFonts w:ascii="Times New Roman" w:hAnsi="Times New Roman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</w:t>
      </w:r>
      <w:r w:rsidR="00BA37F1">
        <w:rPr>
          <w:rFonts w:ascii="Times New Roman" w:hAnsi="Times New Roman"/>
          <w:szCs w:val="28"/>
        </w:rPr>
        <w:br/>
      </w:r>
      <w:r w:rsidRPr="00C73AAC">
        <w:rPr>
          <w:rFonts w:ascii="Times New Roman" w:hAnsi="Times New Roman"/>
          <w:szCs w:val="28"/>
        </w:rPr>
        <w:t xml:space="preserve">во исполнение пункта 5 части 1 статьи 67 Градостроительного кодекса Российской Федерации. </w:t>
      </w:r>
    </w:p>
    <w:p w:rsidR="00C73AAC" w:rsidRPr="00C73AAC" w:rsidRDefault="00C73AAC" w:rsidP="00C73AA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C73AAC">
        <w:rPr>
          <w:rFonts w:ascii="Times New Roman" w:hAnsi="Times New Roman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C73AAC" w:rsidRPr="00C73AAC" w:rsidRDefault="00C73AAC" w:rsidP="00C73AA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C73AAC">
        <w:rPr>
          <w:rFonts w:ascii="Times New Roman" w:hAnsi="Times New Roman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C73AAC" w:rsidRPr="00C73AAC" w:rsidRDefault="00C73AAC" w:rsidP="00C73AA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C73AAC">
        <w:rPr>
          <w:rFonts w:ascii="Times New Roman" w:hAnsi="Times New Roman"/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:rsidR="00C73AAC" w:rsidRDefault="00C73AAC" w:rsidP="00C73AA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C73AAC">
        <w:rPr>
          <w:rFonts w:ascii="Times New Roman" w:hAnsi="Times New Roman"/>
          <w:szCs w:val="28"/>
        </w:rPr>
        <w:t>Коэффициент плотности застройки – 2,4.</w:t>
      </w:r>
    </w:p>
    <w:p w:rsidR="00BA37F1" w:rsidRDefault="00BA37F1" w:rsidP="00C73AA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BA37F1" w:rsidRDefault="00BA37F1" w:rsidP="00BA37F1">
      <w:pPr>
        <w:pStyle w:val="a5"/>
        <w:spacing w:after="0" w:line="240" w:lineRule="auto"/>
        <w:jc w:val="center"/>
      </w:pPr>
      <w:r>
        <w:rPr>
          <w:rFonts w:ascii="Times New Roman" w:hAnsi="Times New Roman"/>
          <w:szCs w:val="28"/>
        </w:rPr>
        <w:t>___________</w:t>
      </w:r>
    </w:p>
    <w:p w:rsidR="00C73AAC" w:rsidRPr="00BA37F1" w:rsidRDefault="00BA37F1" w:rsidP="00BA37F1">
      <w:pPr>
        <w:spacing w:after="0"/>
        <w:rPr>
          <w:rFonts w:ascii="Times New Roman" w:hAnsi="Times New Roman"/>
          <w:sz w:val="24"/>
          <w:szCs w:val="24"/>
        </w:rPr>
      </w:pPr>
      <w:r w:rsidRPr="00BA37F1">
        <w:rPr>
          <w:rFonts w:ascii="Times New Roman" w:hAnsi="Times New Roman"/>
          <w:sz w:val="24"/>
          <w:szCs w:val="24"/>
        </w:rPr>
        <w:t>____________</w:t>
      </w:r>
    </w:p>
    <w:p w:rsidR="00BA37F1" w:rsidRDefault="00C73AAC" w:rsidP="00BA37F1">
      <w:pPr>
        <w:pStyle w:val="a5"/>
        <w:spacing w:after="0" w:line="240" w:lineRule="auto"/>
        <w:ind w:firstLine="709"/>
        <w:jc w:val="both"/>
      </w:pPr>
      <w:r w:rsidRPr="00C73AAC">
        <w:rPr>
          <w:rFonts w:ascii="Times New Roman" w:hAnsi="Times New Roman"/>
          <w:szCs w:val="28"/>
        </w:rPr>
        <w:t>&lt;*&gt; В соответствии с классификатором видов разрешенного использования земельных участков, утвержденным приказом Росреестра от 10 ноября 2020 года №</w:t>
      </w:r>
      <w:proofErr w:type="gramStart"/>
      <w:r w:rsidRPr="00C73AAC">
        <w:rPr>
          <w:rFonts w:ascii="Times New Roman" w:hAnsi="Times New Roman"/>
          <w:szCs w:val="28"/>
        </w:rPr>
        <w:t>П</w:t>
      </w:r>
      <w:proofErr w:type="gramEnd"/>
      <w:r w:rsidRPr="00C73AAC">
        <w:rPr>
          <w:rFonts w:ascii="Times New Roman" w:hAnsi="Times New Roman"/>
          <w:szCs w:val="28"/>
        </w:rPr>
        <w:t>/0412 (с изменениями).</w:t>
      </w:r>
    </w:p>
    <w:sectPr w:rsidR="00BA37F1" w:rsidSect="00C73AAC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2C" w:rsidRDefault="00EE1D2C" w:rsidP="00E4749A">
      <w:pPr>
        <w:spacing w:after="0" w:line="240" w:lineRule="auto"/>
      </w:pPr>
      <w:r>
        <w:separator/>
      </w:r>
    </w:p>
  </w:endnote>
  <w:endnote w:type="continuationSeparator" w:id="0">
    <w:p w:rsidR="00EE1D2C" w:rsidRDefault="00EE1D2C" w:rsidP="00E4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2C" w:rsidRDefault="00EE1D2C" w:rsidP="00E4749A">
      <w:pPr>
        <w:spacing w:after="0" w:line="240" w:lineRule="auto"/>
      </w:pPr>
      <w:r>
        <w:separator/>
      </w:r>
    </w:p>
  </w:footnote>
  <w:footnote w:type="continuationSeparator" w:id="0">
    <w:p w:rsidR="00EE1D2C" w:rsidRDefault="00EE1D2C" w:rsidP="00E4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Pr="00E4749A" w:rsidRDefault="00BA37F1" w:rsidP="00E4749A">
    <w:pPr>
      <w:pStyle w:val="a5"/>
      <w:jc w:val="center"/>
      <w:rPr>
        <w:rFonts w:ascii="Times New Roman" w:hAnsi="Times New Roman"/>
        <w:sz w:val="28"/>
        <w:szCs w:val="28"/>
      </w:rPr>
    </w:pPr>
    <w:r w:rsidRPr="00E4749A">
      <w:rPr>
        <w:rFonts w:ascii="Times New Roman" w:hAnsi="Times New Roman"/>
        <w:sz w:val="28"/>
        <w:szCs w:val="28"/>
      </w:rPr>
      <w:fldChar w:fldCharType="begin"/>
    </w:r>
    <w:r w:rsidRPr="00E4749A">
      <w:rPr>
        <w:rFonts w:ascii="Times New Roman" w:hAnsi="Times New Roman"/>
        <w:sz w:val="28"/>
        <w:szCs w:val="28"/>
      </w:rPr>
      <w:instrText>PAGE   \* MERGEFORMAT</w:instrText>
    </w:r>
    <w:r w:rsidRPr="00E4749A">
      <w:rPr>
        <w:rFonts w:ascii="Times New Roman" w:hAnsi="Times New Roman"/>
        <w:sz w:val="28"/>
        <w:szCs w:val="28"/>
      </w:rPr>
      <w:fldChar w:fldCharType="separate"/>
    </w:r>
    <w:r w:rsidR="00CC76D9">
      <w:rPr>
        <w:rFonts w:ascii="Times New Roman" w:hAnsi="Times New Roman"/>
        <w:noProof/>
        <w:sz w:val="28"/>
        <w:szCs w:val="28"/>
      </w:rPr>
      <w:t>3</w:t>
    </w:r>
    <w:r w:rsidRPr="00E4749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Default="00BA37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277C"/>
    <w:rsid w:val="000533A7"/>
    <w:rsid w:val="000B418D"/>
    <w:rsid w:val="000C52AF"/>
    <w:rsid w:val="00143B63"/>
    <w:rsid w:val="001515B4"/>
    <w:rsid w:val="00164288"/>
    <w:rsid w:val="001821E7"/>
    <w:rsid w:val="00192483"/>
    <w:rsid w:val="00227B4A"/>
    <w:rsid w:val="0023067C"/>
    <w:rsid w:val="00255610"/>
    <w:rsid w:val="002679E1"/>
    <w:rsid w:val="002846C1"/>
    <w:rsid w:val="002B262A"/>
    <w:rsid w:val="00303D55"/>
    <w:rsid w:val="003E3927"/>
    <w:rsid w:val="00444794"/>
    <w:rsid w:val="004854C6"/>
    <w:rsid w:val="004C7FB9"/>
    <w:rsid w:val="00503C15"/>
    <w:rsid w:val="005638B6"/>
    <w:rsid w:val="005D38FA"/>
    <w:rsid w:val="005E3367"/>
    <w:rsid w:val="00657328"/>
    <w:rsid w:val="006956AF"/>
    <w:rsid w:val="006A6597"/>
    <w:rsid w:val="00810EA3"/>
    <w:rsid w:val="00872772"/>
    <w:rsid w:val="008811FB"/>
    <w:rsid w:val="008F19EF"/>
    <w:rsid w:val="00915B3D"/>
    <w:rsid w:val="00921369"/>
    <w:rsid w:val="00934206"/>
    <w:rsid w:val="009A3454"/>
    <w:rsid w:val="009F3CD5"/>
    <w:rsid w:val="00AA4C06"/>
    <w:rsid w:val="00AE7C89"/>
    <w:rsid w:val="00AF75FA"/>
    <w:rsid w:val="00B9383D"/>
    <w:rsid w:val="00BA37F1"/>
    <w:rsid w:val="00C416DA"/>
    <w:rsid w:val="00C44244"/>
    <w:rsid w:val="00C73AAC"/>
    <w:rsid w:val="00CC76D9"/>
    <w:rsid w:val="00CE53F8"/>
    <w:rsid w:val="00CF7A78"/>
    <w:rsid w:val="00DE1DE1"/>
    <w:rsid w:val="00E26E93"/>
    <w:rsid w:val="00E4749A"/>
    <w:rsid w:val="00E77B29"/>
    <w:rsid w:val="00EE1D2C"/>
    <w:rsid w:val="00F7495E"/>
    <w:rsid w:val="00F87C36"/>
    <w:rsid w:val="00FC1B76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D532-3553-41D3-883D-C4F15B2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2023-05-15T05:54:00Z</cp:lastPrinted>
  <dcterms:created xsi:type="dcterms:W3CDTF">2023-07-06T11:14:00Z</dcterms:created>
  <dcterms:modified xsi:type="dcterms:W3CDTF">2023-10-22T11:34:00Z</dcterms:modified>
</cp:coreProperties>
</file>