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A3" w:rsidRPr="00F7495E" w:rsidRDefault="00C525A3" w:rsidP="00C525A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C525A3" w:rsidRPr="00F7495E" w:rsidRDefault="00C525A3" w:rsidP="00C525A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525A3" w:rsidRPr="00F7495E" w:rsidRDefault="00C525A3" w:rsidP="00C525A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C525A3" w:rsidRDefault="00C525A3" w:rsidP="00C525A3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167F9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F749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167F9E">
        <w:rPr>
          <w:rFonts w:ascii="Times New Roman" w:hAnsi="Times New Roman"/>
          <w:sz w:val="28"/>
          <w:szCs w:val="28"/>
        </w:rPr>
        <w:t>417</w:t>
      </w:r>
    </w:p>
    <w:p w:rsidR="00F86E0A" w:rsidRDefault="00F86E0A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19E" w:rsidRPr="00F7495E" w:rsidRDefault="00F86E0A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A519E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EA519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A519E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19E">
        <w:rPr>
          <w:rFonts w:ascii="Times New Roman" w:hAnsi="Times New Roman"/>
          <w:sz w:val="28"/>
          <w:szCs w:val="28"/>
        </w:rPr>
        <w:t>4</w:t>
      </w:r>
    </w:p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EA519E" w:rsidRPr="00F7495E" w:rsidRDefault="00EA519E" w:rsidP="00EA519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F86E0A">
        <w:rPr>
          <w:rFonts w:ascii="Times New Roman" w:hAnsi="Times New Roman"/>
          <w:sz w:val="28"/>
          <w:szCs w:val="28"/>
        </w:rPr>
        <w:t>27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95E">
        <w:rPr>
          <w:rFonts w:ascii="Times New Roman" w:hAnsi="Times New Roman"/>
          <w:sz w:val="28"/>
          <w:szCs w:val="28"/>
        </w:rPr>
        <w:t>20</w:t>
      </w:r>
      <w:r w:rsidR="00F86E0A">
        <w:rPr>
          <w:rFonts w:ascii="Times New Roman" w:hAnsi="Times New Roman"/>
          <w:sz w:val="28"/>
          <w:szCs w:val="28"/>
        </w:rPr>
        <w:t>22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CF46D2">
        <w:rPr>
          <w:rFonts w:ascii="Times New Roman" w:hAnsi="Times New Roman"/>
          <w:sz w:val="28"/>
          <w:szCs w:val="28"/>
        </w:rPr>
        <w:t>2302</w:t>
      </w:r>
    </w:p>
    <w:p w:rsidR="00EA519E" w:rsidRDefault="00EA519E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19E" w:rsidRDefault="00EA519E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Default="00587BF4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BF4">
        <w:rPr>
          <w:rFonts w:ascii="Times New Roman" w:hAnsi="Times New Roman" w:cs="Times New Roman"/>
          <w:b/>
          <w:bCs/>
          <w:sz w:val="28"/>
          <w:szCs w:val="28"/>
        </w:rPr>
        <w:t xml:space="preserve">Объем строительства и иные 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сведения, </w:t>
      </w:r>
    </w:p>
    <w:p w:rsidR="005A6A13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421224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</w:p>
    <w:p w:rsidR="00227B4A" w:rsidRPr="00C8140F" w:rsidRDefault="00CF46D2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D2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ул. Гагарина, </w:t>
      </w:r>
      <w:r w:rsidR="00C525A3">
        <w:rPr>
          <w:rFonts w:ascii="Times New Roman" w:hAnsi="Times New Roman" w:cs="Times New Roman"/>
          <w:b/>
          <w:sz w:val="28"/>
          <w:szCs w:val="28"/>
        </w:rPr>
        <w:br/>
      </w:r>
      <w:r w:rsidRPr="00CF46D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CF46D2">
        <w:rPr>
          <w:rFonts w:ascii="Times New Roman" w:hAnsi="Times New Roman" w:cs="Times New Roman"/>
          <w:b/>
          <w:sz w:val="28"/>
          <w:szCs w:val="28"/>
        </w:rPr>
        <w:t>Розинга</w:t>
      </w:r>
      <w:proofErr w:type="spellEnd"/>
      <w:r w:rsidRPr="00CF46D2">
        <w:rPr>
          <w:rFonts w:ascii="Times New Roman" w:hAnsi="Times New Roman" w:cs="Times New Roman"/>
          <w:b/>
          <w:sz w:val="28"/>
          <w:szCs w:val="28"/>
        </w:rPr>
        <w:t>, просп. Дзержинского</w:t>
      </w:r>
      <w:r w:rsidR="005A6A13"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</w:t>
      </w:r>
      <w:r w:rsidR="0042122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 Градостроительном кодексе Российской Федерации </w:t>
      </w:r>
      <w:r w:rsidR="0042122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D300B2" w:rsidRPr="00C8140F" w:rsidRDefault="00D300B2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6D2" w:rsidRPr="00CF46D2" w:rsidRDefault="00CF46D2" w:rsidP="00C525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Границы территории, подлежащей комплексному развитию, отображены на схеме, выполненной в масштабе 1:2000, что позволяет передать информацию о предлагаемых границах (схема к приложению № 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постановлению).</w:t>
      </w:r>
    </w:p>
    <w:p w:rsidR="00CF46D2" w:rsidRPr="00CF46D2" w:rsidRDefault="00CF46D2" w:rsidP="00C525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Сведения, обосновывающие границы территории, п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одлежащей комплексному развитию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сложившаяся планировка территории: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Застройка малоэтажная. 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многоквартирными двухэтажными  домами с несущими и ограждающими конструкциями из дерева. Все двухэтажные деревянные существующие многоквартирные жилые дома подлежат расселению и сносу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существующее землепользование: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29:22:040601:24 Вид права: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29:22:040601:28 Вид права: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29:22:040601:25 Вид права: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29:22:040601:30 Общая долевая собственность (Собственники помещений в многоквартирном доме);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29:22:040601:29 Вид права: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29:22:040601:26 Вид права: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29:22:040601:32 Общая долевая собственность (Собственники помещений в многоквартирном доме);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29:22:040601:31 Вид права: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29:22:040601:54 Общая долевая собственность (Собственники помещений в многоквартирном доме);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29:22:040601:27 Вид права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Государственная собственность;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3) наличие </w:t>
      </w:r>
      <w:proofErr w:type="gram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инженерной</w:t>
      </w:r>
      <w:proofErr w:type="gram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транспортной, коммунальной и социальной инфраструктур (планируемой и существующей):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Транспортная инфраструктура: 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Сформирована. 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Транспортная связь обеспечивается по ул. Гагарина – магистральной улице общегородского значения регулируемого движения, по улицам местного значения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Розинга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просп. Дзержинского.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Инженерная и коммунальная инфраструктуры: 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обеспечена всеми необходимыми объектами коммунальной инфраструктуры. 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Технические условия, точки подключения, предельную мощность определяют организации, осуществляющие эксплуатацию сетей инженерно-технического обеспечения.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Социальная инфраструктура: 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Ближайшие дошкольные учреждения располагаются по адресу: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№ 124 комбинированного вида "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Мирославна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просп. Дзержинского, д. 25, корп. 1 (радиус доступности 150 м);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№ 56 комбинированного вида "Туесок" по ул. Гагарина, д. 50, корп. 1 (радиус доступности 300 м);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средняя школа № 5 с дошкольным отделением по пр. К.С.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Бадигина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14 (радиус доступности 350 м).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Ближайшие общеобразовательные учреждения располагаются по адресу: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средняя общеобразовательная школа № 5 с дошкольным отделением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пр. К.С.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Бадигина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 14 (радиус доступности 350 м);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общеобразовательная школа № 2 им. В.Ф. Филиппова по просп. Советских космонавтов, д. 188, корп. 1 (радиус доступности 700 м);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гимназия №</w:t>
      </w:r>
      <w:r w:rsidR="00C52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 по ул.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Тимме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Я., д. 22, кор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3 (радиус доступности 300 м);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наличие объектов федерального, регионального, местного значения, размещение которых предусмотрено на основании отраслевых документов стратегического планирования, стратегий социально-экономического развития Архангельской области и соответствующего муниципального образования Архангельской области, документов территориального планирования Российской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проектов, государственных программ Архангельской области, инвестиционных программ субъектов естественных монополий, решений органов государственной</w:t>
      </w:r>
      <w:proofErr w:type="gram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власти, иных главных распорядителей средств соответствующих бюджетов, предусматривающих создание объектов федерального, регионального и местного значения: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части элемента планировочной структуры: ул. Гагарина, </w:t>
      </w:r>
      <w:r w:rsidR="00C52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Розинга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просп. Дзержинского планируется строительство объекта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капитального строительства – детский сад на 125 мест. Осуществление мероприятий по соответствующим изменениям в градостроительную документацию в процессе исполнения.</w:t>
      </w:r>
    </w:p>
    <w:p w:rsid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строительства дошкольной образовательной организации (детский сад на 125 мест), в границах части элемента планировочной структуры: ул. Гагарина, ул.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Розинга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просп. Дзержинского осуществляется </w:t>
      </w:r>
      <w:r w:rsidR="00C52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бюджетн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средств федерального бюджета;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29:00-6.279 от 31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ограничение использования земельного участка в пределах зоны: </w:t>
      </w:r>
      <w:proofErr w:type="gram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обеспечения инженерной защиты таких населенных пунктов и объектов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затопления, подтопления; 2) использование сточных вод в целях регулирования плодородия почв;</w:t>
      </w:r>
      <w:proofErr w:type="gram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борьбе с вредными организмами. Водный кодекс Российской Федерации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(от 3 июня 2006 года № 74-ФЗ), вид/наименование: Граница зоны подтопления муниципального образования "Город Архангельск" (территориальные округа Октябрьский, Ломоносовский, Майская Горка,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Варавино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-Фактория), тип: Иная зона с особыми условиями использования территории, решения: 1. Дата решения: 03.06.2006, номер решения: 74-ФЗ, наименование ОГВ/ОМСУ: Российская Федерация 2. Дата решения: 18.04.2014, номер решения: 360, наименование ОГВ/ОМСУ: Правительство Российской Федерации 3. дата решения: 01.10.2020, номер решения: 96, наименование ОГВ/ОМСУ: Двинско-Печорское бассейновое водное управление Федерального агентства водных ресурсов.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с реестровым номером 29:00-6.283 от 11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ограничение использования земельного участка в пределах зоны: запрещается размещать опасные производственные объекты, функционирование которых может повлиять на безопасность полетов воздушных судов (ст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атья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47 Воздушного кодекса Р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1997 г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60-ФЗ), вид/наименование: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Приаэродромная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аэропорта Васьково. Пятая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подзона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тип: Охранная зона транспорта, дата решения: 2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номер решения: 17-П, наименование ОГВ/ОМСУ: Архангельское МТУ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зона с реестровым номером 29:00-6.286 от 11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ограничение использования земельного участка в пределах зоны: запрещается размещать объекты, способствующие привлечению и массовому скоплению птиц (статья 47 Воздушного кодекса Р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 марта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1997 года № 60-ФЗ), вид/наименование: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Приаэродромная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аэропорта Васьково. Шестая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подзона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тип: Охранная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транспорта, дата решения: 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номер решения: 17-П, наименование ОГВ/ОМСУ: Архангельское МТУ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Росавиации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29:00-6.285 от </w:t>
      </w:r>
      <w:r w:rsidR="00167F9E"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 </w:t>
      </w:r>
      <w:r w:rsidR="00167F9E"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ограничение использования земельного участка в пределах зоны: ограничения указаны в статье 47 Воздушного кодекса Р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19 марта 1997 года № 60-ФЗ, вид/наименование: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Приаэродромная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территория аэропорта;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пояс ЗСО источника водоснабжения.</w:t>
      </w:r>
    </w:p>
    <w:p w:rsid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Перечень земельных участков и расположенн</w:t>
      </w:r>
      <w:r w:rsidR="00167F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на них объектов недвижимости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528"/>
      </w:tblGrid>
      <w:tr w:rsidR="00CF46D2" w:rsidRPr="00982737" w:rsidTr="00C525A3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794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CF46D2" w:rsidRPr="00982737" w:rsidTr="00C525A3">
        <w:tc>
          <w:tcPr>
            <w:tcW w:w="851" w:type="dxa"/>
            <w:tcBorders>
              <w:top w:val="single" w:sz="4" w:space="0" w:color="auto"/>
            </w:tcBorders>
          </w:tcPr>
          <w:p w:rsidR="00CF46D2" w:rsidRPr="00982737" w:rsidRDefault="00CF46D2" w:rsidP="00CF46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29:22:040601:24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водопровода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микрорайона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29:22:000000:8275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бытовой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канализации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proofErr w:type="gramEnd"/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29:22:040601:62</w:t>
            </w:r>
          </w:p>
          <w:p w:rsidR="00CF46D2" w:rsidRPr="00982737" w:rsidRDefault="00CF46D2" w:rsidP="00C52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CF46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29:22:040601:28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водопровода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микрорайона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29:22:000000:8275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бытовой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канализации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proofErr w:type="gramEnd"/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29:22:040601:59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CF46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29:22:040601:25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29:22:040601:86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CF46D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29:22:040601:30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29:22:040601:71</w:t>
            </w:r>
          </w:p>
          <w:p w:rsidR="00CF46D2" w:rsidRPr="00982737" w:rsidRDefault="00CF46D2" w:rsidP="00C52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29:22:040601:29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37">
              <w:rPr>
                <w:rFonts w:ascii="Times New Roman" w:hAnsi="Times New Roman"/>
                <w:sz w:val="24"/>
                <w:szCs w:val="24"/>
              </w:rPr>
              <w:t xml:space="preserve">29:22:040601:26 </w:t>
            </w:r>
          </w:p>
          <w:p w:rsidR="00CF46D2" w:rsidRPr="00982737" w:rsidRDefault="00CF46D2" w:rsidP="00855E8D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29:22:040601:80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29:22:040601:2035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электроэнергетики</w:t>
            </w:r>
            <w:proofErr w:type="gramEnd"/>
          </w:p>
          <w:p w:rsidR="00CF46D2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Наружное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освещение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территории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домов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№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51-59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корп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ул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Гагарина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29:22:040601:61</w:t>
            </w:r>
          </w:p>
          <w:p w:rsidR="00CF46D2" w:rsidRPr="00982737" w:rsidRDefault="00CF46D2" w:rsidP="00C525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29:22:040601:32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29:22:040601:74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29:22:040601:31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29:22:040601:57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29:22:040601:54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29:22:000000:8275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коммунального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внутриквартальные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сети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хозяйственно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бытовой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канализации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Привокзального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района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  <w:proofErr w:type="gramEnd"/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29:22:040601:2035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сооружения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электроэнергетики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Наружное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освещение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территории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домов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№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51-59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корп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ул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Гагарина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29:22:040601:70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CF46D2" w:rsidRPr="00982737" w:rsidTr="00C525A3">
        <w:tc>
          <w:tcPr>
            <w:tcW w:w="851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</w:tcPr>
          <w:p w:rsidR="00CF46D2" w:rsidRPr="00982737" w:rsidRDefault="00CF46D2" w:rsidP="00855E8D">
            <w:pPr>
              <w:widowControl w:val="0"/>
              <w:tabs>
                <w:tab w:val="left" w:pos="1037"/>
                <w:tab w:val="left" w:pos="139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29:22:040601:27</w:t>
            </w:r>
          </w:p>
        </w:tc>
        <w:tc>
          <w:tcPr>
            <w:tcW w:w="5528" w:type="dxa"/>
          </w:tcPr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29:22:000000:8055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(Назначение: сооружения коммунального хозяйства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внутриквартальные сети водопровода 11 Привокзального микрорайона),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29:22:040601:60</w:t>
            </w:r>
          </w:p>
          <w:p w:rsidR="00CF46D2" w:rsidRPr="00982737" w:rsidRDefault="00CF46D2" w:rsidP="00855E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Назначение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Многоквартирный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Наименование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Жилой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73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</w:t>
            </w:r>
            <w:r w:rsidRPr="00982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C525A3" w:rsidRDefault="00C525A3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Информац</w:t>
      </w:r>
      <w:r w:rsidR="00613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об источниках финансирования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Внебюджетные источники финансирования. 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Гагарина, ул. 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Розинга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просп. Дзержинского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наличии технической возможности подключения к системе теплоснабжения ПАО "ТГК-2" от 2 сентября 2021 года № 2201/1910-2021;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наличии технической возможности подключения к централизованным системам водоснабжения и водоотведения ООО "РВК-Архангельск" </w:t>
      </w:r>
      <w:r w:rsidR="00613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 сентября 2021 года №И.АР-02092021-027;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наличии технической возможности технологического присоединения </w:t>
      </w:r>
      <w:r w:rsidR="00613D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электрическим сетям ПАО "</w:t>
      </w:r>
      <w:proofErr w:type="spell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Россети</w:t>
      </w:r>
      <w:proofErr w:type="spell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Северо-Запад" от 3 сентября 2021 года №МР</w:t>
      </w:r>
      <w:proofErr w:type="gramStart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/1/69-10/5657;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46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наличии технической возможности подключения к сетям телефонизации и радиофикации ПАО "Ростелеком" от 23 сентября 2021 года                                       № 0201/05/3591/21.</w:t>
      </w:r>
    </w:p>
    <w:p w:rsidR="00C525A3" w:rsidRDefault="00C525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3C9A" w:rsidRPr="00FA3C9A" w:rsidRDefault="00FA3C9A" w:rsidP="00FA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lastRenderedPageBreak/>
        <w:t xml:space="preserve">Объем строительства </w:t>
      </w:r>
    </w:p>
    <w:p w:rsidR="00FA3C9A" w:rsidRPr="00C525A3" w:rsidRDefault="00FA3C9A" w:rsidP="00CF46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25A3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</w:t>
      </w:r>
      <w:r w:rsidR="00CF46D2" w:rsidRPr="00C525A3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Гагарина, ул. </w:t>
      </w:r>
      <w:proofErr w:type="spellStart"/>
      <w:r w:rsidR="00CF46D2" w:rsidRPr="00C525A3">
        <w:rPr>
          <w:rFonts w:ascii="Times New Roman" w:hAnsi="Times New Roman" w:cs="Times New Roman"/>
          <w:sz w:val="28"/>
          <w:szCs w:val="28"/>
        </w:rPr>
        <w:t>Розинга</w:t>
      </w:r>
      <w:proofErr w:type="spellEnd"/>
      <w:r w:rsidR="00CF46D2" w:rsidRPr="00C525A3">
        <w:rPr>
          <w:rFonts w:ascii="Times New Roman" w:hAnsi="Times New Roman" w:cs="Times New Roman"/>
          <w:sz w:val="28"/>
          <w:szCs w:val="28"/>
        </w:rPr>
        <w:t xml:space="preserve">, </w:t>
      </w:r>
      <w:r w:rsidR="00613D81">
        <w:rPr>
          <w:rFonts w:ascii="Times New Roman" w:hAnsi="Times New Roman" w:cs="Times New Roman"/>
          <w:sz w:val="28"/>
          <w:szCs w:val="28"/>
        </w:rPr>
        <w:br/>
      </w:r>
      <w:r w:rsidR="00CF46D2" w:rsidRPr="00C525A3">
        <w:rPr>
          <w:rFonts w:ascii="Times New Roman" w:hAnsi="Times New Roman" w:cs="Times New Roman"/>
          <w:sz w:val="28"/>
          <w:szCs w:val="28"/>
        </w:rPr>
        <w:t>просп. Дзержинского</w:t>
      </w:r>
      <w:r w:rsidRPr="00C525A3">
        <w:rPr>
          <w:rFonts w:ascii="Times New Roman" w:hAnsi="Times New Roman" w:cs="Times New Roman"/>
          <w:sz w:val="28"/>
          <w:szCs w:val="28"/>
        </w:rPr>
        <w:t>,</w:t>
      </w:r>
      <w:r w:rsidR="00CF46D2" w:rsidRPr="00C525A3">
        <w:rPr>
          <w:rFonts w:ascii="Times New Roman" w:hAnsi="Times New Roman" w:cs="Times New Roman"/>
          <w:sz w:val="28"/>
          <w:szCs w:val="28"/>
        </w:rPr>
        <w:t xml:space="preserve"> </w:t>
      </w:r>
      <w:r w:rsidRPr="00C525A3">
        <w:rPr>
          <w:rFonts w:ascii="Times New Roman" w:hAnsi="Times New Roman"/>
          <w:sz w:val="28"/>
          <w:szCs w:val="28"/>
        </w:rPr>
        <w:t xml:space="preserve">подлежащей комплексному развитию, </w:t>
      </w:r>
      <w:r w:rsidR="00613D81">
        <w:rPr>
          <w:rFonts w:ascii="Times New Roman" w:hAnsi="Times New Roman"/>
          <w:sz w:val="28"/>
          <w:szCs w:val="28"/>
        </w:rPr>
        <w:br/>
      </w:r>
      <w:r w:rsidRPr="00C525A3">
        <w:rPr>
          <w:rFonts w:ascii="Times New Roman" w:hAnsi="Times New Roman"/>
          <w:sz w:val="28"/>
          <w:szCs w:val="28"/>
        </w:rPr>
        <w:t xml:space="preserve">площадью </w:t>
      </w:r>
      <w:r w:rsidR="00CF46D2" w:rsidRPr="00C525A3">
        <w:rPr>
          <w:rFonts w:ascii="Times New Roman" w:hAnsi="Times New Roman"/>
          <w:sz w:val="28"/>
          <w:szCs w:val="28"/>
        </w:rPr>
        <w:t>2,7470</w:t>
      </w:r>
      <w:r w:rsidRPr="00C525A3">
        <w:rPr>
          <w:rFonts w:ascii="Times New Roman" w:hAnsi="Times New Roman"/>
          <w:sz w:val="28"/>
          <w:szCs w:val="28"/>
        </w:rPr>
        <w:t xml:space="preserve"> га</w:t>
      </w:r>
    </w:p>
    <w:p w:rsidR="00FA3C9A" w:rsidRPr="00FA3C9A" w:rsidRDefault="00FA3C9A" w:rsidP="00FA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</w:t>
      </w:r>
      <w:r w:rsidR="00CF46D2" w:rsidRPr="00CF46D2">
        <w:rPr>
          <w:rFonts w:ascii="Times New Roman" w:hAnsi="Times New Roman"/>
          <w:sz w:val="28"/>
          <w:szCs w:val="28"/>
        </w:rPr>
        <w:t xml:space="preserve">ул. Гагарина, </w:t>
      </w:r>
      <w:r w:rsidR="00C525A3">
        <w:rPr>
          <w:rFonts w:ascii="Times New Roman" w:hAnsi="Times New Roman"/>
          <w:sz w:val="28"/>
          <w:szCs w:val="28"/>
        </w:rPr>
        <w:br/>
      </w:r>
      <w:r w:rsidR="00CF46D2" w:rsidRPr="00CF46D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CF46D2" w:rsidRPr="00CF46D2">
        <w:rPr>
          <w:rFonts w:ascii="Times New Roman" w:hAnsi="Times New Roman"/>
          <w:sz w:val="28"/>
          <w:szCs w:val="28"/>
        </w:rPr>
        <w:t>Розинга</w:t>
      </w:r>
      <w:proofErr w:type="spellEnd"/>
      <w:r w:rsidR="00CF46D2" w:rsidRPr="00CF46D2">
        <w:rPr>
          <w:rFonts w:ascii="Times New Roman" w:hAnsi="Times New Roman"/>
          <w:sz w:val="28"/>
          <w:szCs w:val="28"/>
        </w:rPr>
        <w:t xml:space="preserve">, просп. Дзержинского </w:t>
      </w:r>
      <w:r w:rsidRPr="00FA3C9A">
        <w:rPr>
          <w:rFonts w:ascii="Times New Roman" w:hAnsi="Times New Roman"/>
          <w:sz w:val="28"/>
          <w:szCs w:val="28"/>
        </w:rPr>
        <w:t xml:space="preserve">площадью </w:t>
      </w:r>
      <w:r w:rsidR="00CF46D2" w:rsidRPr="00CF46D2">
        <w:rPr>
          <w:rFonts w:ascii="Times New Roman" w:hAnsi="Times New Roman"/>
          <w:sz w:val="28"/>
          <w:szCs w:val="28"/>
        </w:rPr>
        <w:t xml:space="preserve">2,7470 </w:t>
      </w:r>
      <w:r w:rsidRPr="00FA3C9A">
        <w:rPr>
          <w:rFonts w:ascii="Times New Roman" w:hAnsi="Times New Roman"/>
          <w:sz w:val="28"/>
          <w:szCs w:val="28"/>
        </w:rPr>
        <w:t xml:space="preserve">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="00C525A3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="00C525A3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FA3C9A" w:rsidRDefault="00CF46D2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3C9A" w:rsidRPr="00FA3C9A">
        <w:rPr>
          <w:rFonts w:ascii="Times New Roman" w:hAnsi="Times New Roman"/>
          <w:sz w:val="28"/>
          <w:szCs w:val="28"/>
        </w:rPr>
        <w:t xml:space="preserve">редполагаемое размещение жилья </w:t>
      </w:r>
      <w:r w:rsidR="00613D81">
        <w:rPr>
          <w:rFonts w:ascii="Times New Roman" w:hAnsi="Times New Roman"/>
          <w:sz w:val="28"/>
          <w:szCs w:val="28"/>
        </w:rPr>
        <w:t>–</w:t>
      </w:r>
      <w:r w:rsidR="00FA3C9A" w:rsidRPr="00FA3C9A">
        <w:rPr>
          <w:rFonts w:ascii="Times New Roman" w:hAnsi="Times New Roman"/>
          <w:sz w:val="28"/>
          <w:szCs w:val="28"/>
        </w:rPr>
        <w:t xml:space="preserve"> </w:t>
      </w:r>
      <w:r w:rsidR="00D15573" w:rsidRPr="00D15573">
        <w:rPr>
          <w:rFonts w:ascii="Times New Roman" w:hAnsi="Times New Roman"/>
          <w:sz w:val="28"/>
          <w:szCs w:val="28"/>
        </w:rPr>
        <w:t xml:space="preserve">не более </w:t>
      </w:r>
      <w:r w:rsidRPr="00CF46D2">
        <w:rPr>
          <w:rFonts w:ascii="Times New Roman" w:hAnsi="Times New Roman"/>
          <w:sz w:val="28"/>
          <w:szCs w:val="28"/>
        </w:rPr>
        <w:t xml:space="preserve">39 736 </w:t>
      </w:r>
      <w:r w:rsidR="00D15573" w:rsidRPr="00D15573">
        <w:rPr>
          <w:rFonts w:ascii="Times New Roman" w:hAnsi="Times New Roman"/>
          <w:sz w:val="28"/>
          <w:szCs w:val="28"/>
        </w:rPr>
        <w:t>кв.</w:t>
      </w:r>
      <w:r w:rsidR="00613D81">
        <w:rPr>
          <w:rFonts w:ascii="Times New Roman" w:hAnsi="Times New Roman"/>
          <w:sz w:val="28"/>
          <w:szCs w:val="28"/>
        </w:rPr>
        <w:t xml:space="preserve"> </w:t>
      </w:r>
      <w:r w:rsidR="00D15573" w:rsidRPr="00D15573">
        <w:rPr>
          <w:rFonts w:ascii="Times New Roman" w:hAnsi="Times New Roman"/>
          <w:sz w:val="28"/>
          <w:szCs w:val="28"/>
        </w:rPr>
        <w:t>м общей площади жилых помещений</w:t>
      </w:r>
      <w:r w:rsidR="00D15573">
        <w:rPr>
          <w:rFonts w:ascii="Times New Roman" w:hAnsi="Times New Roman"/>
          <w:sz w:val="28"/>
          <w:szCs w:val="28"/>
        </w:rPr>
        <w:t>.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C525A3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Документацией по планировке территории в границах части элемента планировочной структуры ул. Гагарина, ул. </w:t>
      </w:r>
      <w:proofErr w:type="spellStart"/>
      <w:r w:rsidRPr="00CF46D2">
        <w:rPr>
          <w:rFonts w:ascii="Times New Roman" w:hAnsi="Times New Roman"/>
          <w:sz w:val="28"/>
          <w:szCs w:val="28"/>
        </w:rPr>
        <w:t>Розинга</w:t>
      </w:r>
      <w:proofErr w:type="spellEnd"/>
      <w:r w:rsidRPr="00CF46D2">
        <w:rPr>
          <w:rFonts w:ascii="Times New Roman" w:hAnsi="Times New Roman"/>
          <w:sz w:val="28"/>
          <w:szCs w:val="28"/>
        </w:rPr>
        <w:t>, просп. Дзержинского: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>установить границу зоны планируемого размещения объекта капитального строительства – детский сад на 125 мест;</w:t>
      </w:r>
    </w:p>
    <w:p w:rsidR="00CF46D2" w:rsidRPr="00CF46D2" w:rsidRDefault="00CF46D2" w:rsidP="00CF4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определить местоположение границ образуемого земельного участка </w:t>
      </w:r>
      <w:r w:rsidR="00BD472E">
        <w:rPr>
          <w:rFonts w:ascii="Times New Roman" w:hAnsi="Times New Roman"/>
          <w:sz w:val="28"/>
          <w:szCs w:val="28"/>
        </w:rPr>
        <w:br/>
      </w:r>
      <w:r w:rsidRPr="00CF46D2">
        <w:rPr>
          <w:rFonts w:ascii="Times New Roman" w:hAnsi="Times New Roman"/>
          <w:sz w:val="28"/>
          <w:szCs w:val="28"/>
        </w:rPr>
        <w:t>с видом разрешенного использования "Образование и просвещение (3.5)".</w:t>
      </w:r>
    </w:p>
    <w:p w:rsidR="00CF46D2" w:rsidRDefault="00CF46D2" w:rsidP="00CF46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6D2">
        <w:rPr>
          <w:rFonts w:ascii="Times New Roman" w:hAnsi="Times New Roman"/>
          <w:sz w:val="28"/>
          <w:szCs w:val="28"/>
        </w:rPr>
        <w:t xml:space="preserve">Реализация строительства дошкольной образовательной организации (детский сад на 125 мест), в границах части элемента планировочной структуры: ул. Гагарина, ул. </w:t>
      </w:r>
      <w:proofErr w:type="spellStart"/>
      <w:r w:rsidRPr="00CF46D2">
        <w:rPr>
          <w:rFonts w:ascii="Times New Roman" w:hAnsi="Times New Roman"/>
          <w:sz w:val="28"/>
          <w:szCs w:val="28"/>
        </w:rPr>
        <w:t>Розинга</w:t>
      </w:r>
      <w:proofErr w:type="spellEnd"/>
      <w:r w:rsidRPr="00CF46D2">
        <w:rPr>
          <w:rFonts w:ascii="Times New Roman" w:hAnsi="Times New Roman"/>
          <w:sz w:val="28"/>
          <w:szCs w:val="28"/>
        </w:rPr>
        <w:t xml:space="preserve">, просп. Дзержинского осуществляется </w:t>
      </w:r>
      <w:r w:rsidR="00BD472E">
        <w:rPr>
          <w:rFonts w:ascii="Times New Roman" w:hAnsi="Times New Roman"/>
          <w:sz w:val="28"/>
          <w:szCs w:val="28"/>
        </w:rPr>
        <w:br/>
      </w:r>
      <w:r w:rsidRPr="00CF46D2">
        <w:rPr>
          <w:rFonts w:ascii="Times New Roman" w:hAnsi="Times New Roman"/>
          <w:sz w:val="28"/>
          <w:szCs w:val="28"/>
        </w:rPr>
        <w:t>из бюджетных средств федерального бюджета</w:t>
      </w:r>
      <w:proofErr w:type="gramStart"/>
      <w:r w:rsidRPr="00CF46D2">
        <w:rPr>
          <w:rFonts w:ascii="Times New Roman" w:hAnsi="Times New Roman"/>
          <w:sz w:val="28"/>
          <w:szCs w:val="28"/>
        </w:rPr>
        <w:t>.".</w:t>
      </w:r>
      <w:proofErr w:type="gramEnd"/>
    </w:p>
    <w:p w:rsidR="00C525A3" w:rsidRPr="00C525A3" w:rsidRDefault="00C525A3" w:rsidP="00CF46D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C9A" w:rsidRPr="00FA3C9A" w:rsidRDefault="00C525A3" w:rsidP="00613D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bookmarkStart w:id="1" w:name="_GoBack"/>
      <w:bookmarkEnd w:id="1"/>
    </w:p>
    <w:sectPr w:rsidR="00FA3C9A" w:rsidRPr="00FA3C9A" w:rsidSect="00EA51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6D" w:rsidRDefault="00C11F6D" w:rsidP="00EA519E">
      <w:pPr>
        <w:spacing w:after="0" w:line="240" w:lineRule="auto"/>
      </w:pPr>
      <w:r>
        <w:separator/>
      </w:r>
    </w:p>
  </w:endnote>
  <w:endnote w:type="continuationSeparator" w:id="0">
    <w:p w:rsidR="00C11F6D" w:rsidRDefault="00C11F6D" w:rsidP="00EA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6D" w:rsidRDefault="00C11F6D" w:rsidP="00EA519E">
      <w:pPr>
        <w:spacing w:after="0" w:line="240" w:lineRule="auto"/>
      </w:pPr>
      <w:r>
        <w:separator/>
      </w:r>
    </w:p>
  </w:footnote>
  <w:footnote w:type="continuationSeparator" w:id="0">
    <w:p w:rsidR="00C11F6D" w:rsidRDefault="00C11F6D" w:rsidP="00EA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9E" w:rsidRDefault="00EA519E" w:rsidP="00EA519E">
    <w:pPr>
      <w:pStyle w:val="a5"/>
      <w:tabs>
        <w:tab w:val="left" w:pos="4590"/>
        <w:tab w:val="center" w:pos="4819"/>
      </w:tabs>
    </w:pP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fldChar w:fldCharType="begin"/>
    </w:r>
    <w:r w:rsidRPr="00EA519E">
      <w:rPr>
        <w:rFonts w:ascii="Times New Roman" w:hAnsi="Times New Roman"/>
        <w:sz w:val="28"/>
      </w:rPr>
      <w:instrText>PAGE   \* MERGEFORMAT</w:instrText>
    </w:r>
    <w:r w:rsidRPr="00EA519E">
      <w:rPr>
        <w:rFonts w:ascii="Times New Roman" w:hAnsi="Times New Roman"/>
        <w:sz w:val="28"/>
      </w:rPr>
      <w:fldChar w:fldCharType="separate"/>
    </w:r>
    <w:r w:rsidR="00613D81">
      <w:rPr>
        <w:rFonts w:ascii="Times New Roman" w:hAnsi="Times New Roman"/>
        <w:noProof/>
        <w:sz w:val="28"/>
      </w:rPr>
      <w:t>6</w:t>
    </w:r>
    <w:r w:rsidRPr="00EA519E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50FE1"/>
    <w:rsid w:val="00081635"/>
    <w:rsid w:val="0008656A"/>
    <w:rsid w:val="0008677B"/>
    <w:rsid w:val="000B7A99"/>
    <w:rsid w:val="001069DA"/>
    <w:rsid w:val="00124828"/>
    <w:rsid w:val="00130B16"/>
    <w:rsid w:val="001317CC"/>
    <w:rsid w:val="00136276"/>
    <w:rsid w:val="001504BF"/>
    <w:rsid w:val="00167F9E"/>
    <w:rsid w:val="00174AEC"/>
    <w:rsid w:val="00174CEA"/>
    <w:rsid w:val="001A2BD7"/>
    <w:rsid w:val="001A4FD7"/>
    <w:rsid w:val="00227B4A"/>
    <w:rsid w:val="0023067C"/>
    <w:rsid w:val="0027123D"/>
    <w:rsid w:val="002914A3"/>
    <w:rsid w:val="002B262A"/>
    <w:rsid w:val="002C662E"/>
    <w:rsid w:val="00353D5C"/>
    <w:rsid w:val="00382FEE"/>
    <w:rsid w:val="00394873"/>
    <w:rsid w:val="003D2FAF"/>
    <w:rsid w:val="003E6093"/>
    <w:rsid w:val="004123BC"/>
    <w:rsid w:val="00421224"/>
    <w:rsid w:val="004251EE"/>
    <w:rsid w:val="0045354C"/>
    <w:rsid w:val="00512AFA"/>
    <w:rsid w:val="00521EF0"/>
    <w:rsid w:val="00545472"/>
    <w:rsid w:val="00587BF4"/>
    <w:rsid w:val="005A6A13"/>
    <w:rsid w:val="005E250C"/>
    <w:rsid w:val="005E4F40"/>
    <w:rsid w:val="005E54E9"/>
    <w:rsid w:val="00613D81"/>
    <w:rsid w:val="0066441F"/>
    <w:rsid w:val="006A1AD3"/>
    <w:rsid w:val="006B2CDD"/>
    <w:rsid w:val="006F1F6A"/>
    <w:rsid w:val="006F6467"/>
    <w:rsid w:val="00732F49"/>
    <w:rsid w:val="00772069"/>
    <w:rsid w:val="00773757"/>
    <w:rsid w:val="0078704B"/>
    <w:rsid w:val="00794E3F"/>
    <w:rsid w:val="007D6489"/>
    <w:rsid w:val="007F10EA"/>
    <w:rsid w:val="0084414B"/>
    <w:rsid w:val="008509E9"/>
    <w:rsid w:val="00874A9B"/>
    <w:rsid w:val="00882D48"/>
    <w:rsid w:val="008C14EB"/>
    <w:rsid w:val="008C5DF3"/>
    <w:rsid w:val="009420A4"/>
    <w:rsid w:val="00965F09"/>
    <w:rsid w:val="0098748F"/>
    <w:rsid w:val="00A00E62"/>
    <w:rsid w:val="00A15A1B"/>
    <w:rsid w:val="00A43C31"/>
    <w:rsid w:val="00A5381E"/>
    <w:rsid w:val="00A549C8"/>
    <w:rsid w:val="00A729F8"/>
    <w:rsid w:val="00A76C7E"/>
    <w:rsid w:val="00B03AD9"/>
    <w:rsid w:val="00B263B6"/>
    <w:rsid w:val="00B85FEB"/>
    <w:rsid w:val="00BC0756"/>
    <w:rsid w:val="00BD472E"/>
    <w:rsid w:val="00C00F4D"/>
    <w:rsid w:val="00C11F6D"/>
    <w:rsid w:val="00C525A3"/>
    <w:rsid w:val="00C60DF1"/>
    <w:rsid w:val="00C6242F"/>
    <w:rsid w:val="00C8140F"/>
    <w:rsid w:val="00C832C0"/>
    <w:rsid w:val="00C849DF"/>
    <w:rsid w:val="00CB45E4"/>
    <w:rsid w:val="00CD1D69"/>
    <w:rsid w:val="00CD44EB"/>
    <w:rsid w:val="00CE65D4"/>
    <w:rsid w:val="00CF46D2"/>
    <w:rsid w:val="00D15573"/>
    <w:rsid w:val="00D300B2"/>
    <w:rsid w:val="00D43D9E"/>
    <w:rsid w:val="00D72DA4"/>
    <w:rsid w:val="00DB653B"/>
    <w:rsid w:val="00E26653"/>
    <w:rsid w:val="00E518FE"/>
    <w:rsid w:val="00E77B29"/>
    <w:rsid w:val="00E817D3"/>
    <w:rsid w:val="00EA519E"/>
    <w:rsid w:val="00EC0304"/>
    <w:rsid w:val="00EC27E5"/>
    <w:rsid w:val="00ED29A7"/>
    <w:rsid w:val="00EE0F77"/>
    <w:rsid w:val="00F14ABE"/>
    <w:rsid w:val="00F420B2"/>
    <w:rsid w:val="00F86E0A"/>
    <w:rsid w:val="00F90E53"/>
    <w:rsid w:val="00FA3C9A"/>
    <w:rsid w:val="00FA3E39"/>
    <w:rsid w:val="00FB68F8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1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1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1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1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6</cp:revision>
  <cp:lastPrinted>2023-02-22T12:41:00Z</cp:lastPrinted>
  <dcterms:created xsi:type="dcterms:W3CDTF">2023-03-03T07:59:00Z</dcterms:created>
  <dcterms:modified xsi:type="dcterms:W3CDTF">2023-03-15T09:33:00Z</dcterms:modified>
</cp:coreProperties>
</file>