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ПРИЛОЖЕНИЕ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8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 предоставлении из </w:t>
      </w:r>
      <w:proofErr w:type="gramStart"/>
      <w:r w:rsidRPr="00DB3ED0">
        <w:rPr>
          <w:rFonts w:ascii="Times New Roman" w:hAnsi="Times New Roman"/>
          <w:sz w:val="20"/>
          <w:szCs w:val="20"/>
        </w:rPr>
        <w:t>городского</w:t>
      </w:r>
      <w:proofErr w:type="gramEnd"/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бюджета субсидий, в том числе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грантов в форме субсидий, </w:t>
      </w:r>
      <w:proofErr w:type="gramStart"/>
      <w:r w:rsidRPr="00DB3ED0">
        <w:rPr>
          <w:rFonts w:ascii="Times New Roman" w:hAnsi="Times New Roman"/>
          <w:sz w:val="20"/>
          <w:szCs w:val="20"/>
        </w:rPr>
        <w:t>юридическим</w:t>
      </w:r>
      <w:proofErr w:type="gramEnd"/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лицам, индивидуальным предпринимателям,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а также физическим лицам, </w:t>
      </w:r>
      <w:proofErr w:type="gramStart"/>
      <w:r w:rsidRPr="00DB3ED0">
        <w:rPr>
          <w:rFonts w:ascii="Times New Roman" w:hAnsi="Times New Roman"/>
          <w:sz w:val="20"/>
          <w:szCs w:val="20"/>
        </w:rPr>
        <w:t>утвержденной</w:t>
      </w:r>
      <w:proofErr w:type="gramEnd"/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распоряжением директора департамента</w:t>
      </w: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финансов Администрации </w:t>
      </w:r>
      <w:proofErr w:type="gramStart"/>
      <w:r w:rsidRPr="00DB3ED0">
        <w:rPr>
          <w:rFonts w:ascii="Times New Roman" w:hAnsi="Times New Roman"/>
          <w:sz w:val="20"/>
          <w:szCs w:val="20"/>
        </w:rPr>
        <w:t>г</w:t>
      </w:r>
      <w:bookmarkStart w:id="0" w:name="_GoBack"/>
      <w:bookmarkEnd w:id="0"/>
      <w:r w:rsidRPr="00DB3ED0">
        <w:rPr>
          <w:rFonts w:ascii="Times New Roman" w:hAnsi="Times New Roman"/>
          <w:sz w:val="20"/>
          <w:szCs w:val="20"/>
        </w:rPr>
        <w:t>ородского</w:t>
      </w:r>
      <w:proofErr w:type="gramEnd"/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округа "Город Архангельск"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 xml:space="preserve">30.12.2022 </w:t>
      </w:r>
      <w:r w:rsidRPr="00DB3ED0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74р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Приложение № __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к Соглашению </w:t>
      </w:r>
      <w:proofErr w:type="gramStart"/>
      <w:r w:rsidRPr="00DB3ED0">
        <w:rPr>
          <w:rFonts w:ascii="Times New Roman" w:hAnsi="Times New Roman"/>
          <w:sz w:val="20"/>
          <w:szCs w:val="20"/>
        </w:rPr>
        <w:t>от</w:t>
      </w:r>
      <w:proofErr w:type="gramEnd"/>
      <w:r w:rsidRPr="00DB3ED0">
        <w:rPr>
          <w:rFonts w:ascii="Times New Roman" w:hAnsi="Times New Roman"/>
          <w:sz w:val="20"/>
          <w:szCs w:val="20"/>
        </w:rPr>
        <w:t xml:space="preserve"> ________ №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DB3ED0">
        <w:rPr>
          <w:rFonts w:ascii="Times New Roman" w:hAnsi="Times New Roman"/>
          <w:sz w:val="20"/>
          <w:szCs w:val="20"/>
        </w:rPr>
        <w:t>(Приложение №_____</w:t>
      </w:r>
      <w:proofErr w:type="gramEnd"/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дополнительн</w:t>
      </w:r>
      <w:r w:rsidRPr="00DB3ED0">
        <w:rPr>
          <w:rFonts w:ascii="Times New Roman" w:hAnsi="Times New Roman"/>
          <w:sz w:val="20"/>
          <w:szCs w:val="20"/>
        </w:rPr>
        <w:t>ому соглашению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>от___________ №_____)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B3ED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</w:t>
      </w:r>
    </w:p>
    <w:p w:rsidR="00C1148D" w:rsidRPr="00DB3ED0" w:rsidRDefault="00C1148D" w:rsidP="00C114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</w:t>
      </w:r>
      <w:r w:rsidRPr="00DB3ED0">
        <w:rPr>
          <w:rFonts w:ascii="Times New Roman" w:hAnsi="Times New Roman"/>
          <w:sz w:val="20"/>
          <w:szCs w:val="20"/>
        </w:rPr>
        <w:t>Рекомендуемый образец</w:t>
      </w: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tbl>
      <w:tblPr>
        <w:tblW w:w="9465" w:type="dxa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10"/>
        <w:gridCol w:w="340"/>
        <w:gridCol w:w="2120"/>
        <w:gridCol w:w="340"/>
        <w:gridCol w:w="1928"/>
        <w:gridCol w:w="1527"/>
      </w:tblGrid>
      <w:tr w:rsidR="00C1148D" w:rsidRPr="003D7E40" w:rsidTr="00624696">
        <w:tc>
          <w:tcPr>
            <w:tcW w:w="9465" w:type="dxa"/>
            <w:gridSpan w:val="6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Отчет</w:t>
            </w:r>
          </w:p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о реализации плана мероприятий по достижению результатов предоставления Субсидии (контрольных точек) </w:t>
            </w:r>
            <w:hyperlink w:anchor="Par309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&lt;1&gt;</w:t>
              </w:r>
            </w:hyperlink>
          </w:p>
        </w:tc>
      </w:tr>
      <w:tr w:rsidR="00C1148D" w:rsidRPr="003D7E40" w:rsidTr="00624696">
        <w:tc>
          <w:tcPr>
            <w:tcW w:w="9465" w:type="dxa"/>
            <w:gridSpan w:val="6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по состоянию на 1 _________ 20__ г.</w:t>
            </w: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hyperlink w:anchor="Par310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распорядителя средств </w:t>
            </w:r>
            <w:r w:rsidRPr="00875A9D">
              <w:rPr>
                <w:rFonts w:ascii="Times New Roman" w:hAnsi="Times New Roman"/>
                <w:sz w:val="20"/>
                <w:szCs w:val="20"/>
              </w:rPr>
              <w:t>городского</w:t>
            </w:r>
            <w:r w:rsidRPr="003D7E40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5A9D">
              <w:rPr>
                <w:rFonts w:ascii="Times New Roman" w:hAnsi="Times New Roman"/>
                <w:i/>
                <w:sz w:val="18"/>
                <w:szCs w:val="18"/>
              </w:rPr>
              <w:t>(орган)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875A9D">
              <w:rPr>
                <w:rFonts w:ascii="Times New Roman" w:hAnsi="Times New Roman"/>
                <w:sz w:val="20"/>
                <w:szCs w:val="20"/>
              </w:rPr>
              <w:t>мероприятия муниципальной программы</w:t>
            </w:r>
            <w:r w:rsidRPr="003D7E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w:anchor="Par311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311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  <w:r w:rsidRPr="00875A9D">
              <w:rPr>
                <w:rFonts w:ascii="Times New Roman" w:hAnsi="Times New Roman"/>
                <w:sz w:val="20"/>
                <w:szCs w:val="20"/>
              </w:rPr>
              <w:t>направления расходов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по БК </w:t>
            </w:r>
            <w:hyperlink w:anchor="Par312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Номер соглашения </w:t>
            </w:r>
            <w:hyperlink w:anchor="Par313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Дата соглашения </w:t>
            </w:r>
            <w:hyperlink w:anchor="Par313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148D" w:rsidRPr="003D7E40" w:rsidTr="00624696">
        <w:tc>
          <w:tcPr>
            <w:tcW w:w="32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 xml:space="preserve">(первичный - "0", уточненный - "1", "2", "3", "...") </w:t>
            </w:r>
            <w:hyperlink w:anchor="Par314" w:history="1">
              <w:r w:rsidRPr="003D7E40">
                <w:rPr>
                  <w:rFonts w:ascii="Times New Roman" w:hAnsi="Times New Roman"/>
                  <w:sz w:val="20"/>
                  <w:szCs w:val="20"/>
                </w:rPr>
                <w:t>&lt;6&gt;</w:t>
              </w:r>
            </w:hyperlink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8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  <w:sectPr w:rsidR="00C1148D" w:rsidRPr="003D7E40" w:rsidSect="000B4870">
          <w:headerReference w:type="default" r:id="rId5"/>
          <w:headerReference w:type="first" r:id="rId6"/>
          <w:pgSz w:w="11905" w:h="16840"/>
          <w:pgMar w:top="1134" w:right="567" w:bottom="709" w:left="1134" w:header="283" w:footer="0" w:gutter="0"/>
          <w:cols w:space="720"/>
          <w:noEndnote/>
          <w:titlePg/>
          <w:docGrid w:linePitch="299"/>
        </w:sect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425"/>
        <w:gridCol w:w="851"/>
        <w:gridCol w:w="709"/>
        <w:gridCol w:w="554"/>
        <w:gridCol w:w="810"/>
        <w:gridCol w:w="749"/>
        <w:gridCol w:w="851"/>
        <w:gridCol w:w="1146"/>
        <w:gridCol w:w="696"/>
        <w:gridCol w:w="722"/>
      </w:tblGrid>
      <w:tr w:rsidR="00C1148D" w:rsidRPr="003D7E40" w:rsidTr="00C1148D"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Результат предоставления Субсидии, контрольные точки </w:t>
            </w:r>
            <w:hyperlink w:anchor="Par315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Единица измерения </w:t>
            </w:r>
            <w:hyperlink w:anchor="Par315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&lt;7&gt;</w:t>
              </w:r>
            </w:hyperlink>
          </w:p>
        </w:tc>
        <w:tc>
          <w:tcPr>
            <w:tcW w:w="2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Срок достижения (</w:t>
            </w:r>
            <w:proofErr w:type="spellStart"/>
            <w:r w:rsidRPr="003D7E40">
              <w:rPr>
                <w:rFonts w:ascii="Times New Roman" w:hAnsi="Times New Roman"/>
                <w:sz w:val="16"/>
                <w:szCs w:val="16"/>
              </w:rPr>
              <w:t>дд.мм</w:t>
            </w:r>
            <w:proofErr w:type="gramStart"/>
            <w:r w:rsidRPr="003D7E40">
              <w:rPr>
                <w:rFonts w:ascii="Times New Roman" w:hAnsi="Times New Roman"/>
                <w:sz w:val="16"/>
                <w:szCs w:val="16"/>
              </w:rPr>
              <w:t>.г</w:t>
            </w:r>
            <w:proofErr w:type="gramEnd"/>
            <w:r w:rsidRPr="003D7E40">
              <w:rPr>
                <w:rFonts w:ascii="Times New Roman" w:hAnsi="Times New Roman"/>
                <w:sz w:val="16"/>
                <w:szCs w:val="16"/>
              </w:rPr>
              <w:t>ггг</w:t>
            </w:r>
            <w:proofErr w:type="spellEnd"/>
            <w:r w:rsidRPr="003D7E40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Статус </w:t>
            </w:r>
            <w:hyperlink w:anchor="Par321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&lt;13&gt;</w:t>
              </w:r>
            </w:hyperlink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Причина отклонения </w:t>
            </w:r>
            <w:hyperlink w:anchor="Par322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&lt;14&gt;</w:t>
              </w:r>
            </w:hyperlink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тип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код по </w:t>
            </w:r>
            <w:hyperlink r:id="rId7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ОКЕИ</w:t>
              </w:r>
            </w:hyperlink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плановое </w:t>
            </w:r>
            <w:hyperlink w:anchor="Par316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&lt;8&gt;</w:t>
              </w:r>
            </w:hyperlink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фактическое </w:t>
            </w:r>
            <w:hyperlink w:anchor="Par317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&lt;9&gt;</w:t>
              </w:r>
            </w:hyperlink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прогнозное </w:t>
            </w:r>
            <w:hyperlink w:anchor="Par318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&lt;10&gt;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плановый </w:t>
            </w:r>
            <w:hyperlink w:anchor="Par319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&lt;11&gt;</w:t>
              </w:r>
            </w:hyperlink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фактический (прогнозный) </w:t>
            </w:r>
            <w:hyperlink w:anchor="Par320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&lt;12&gt;</w:t>
              </w:r>
            </w:hyperlink>
          </w:p>
        </w:tc>
        <w:tc>
          <w:tcPr>
            <w:tcW w:w="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1" w:name="Par91"/>
            <w:bookmarkEnd w:id="1"/>
            <w:r w:rsidRPr="003D7E40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2" w:name="Par95"/>
            <w:bookmarkEnd w:id="2"/>
            <w:r w:rsidRPr="003D7E40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3" w:name="Par96"/>
            <w:bookmarkEnd w:id="3"/>
            <w:r w:rsidRPr="003D7E40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4" w:name="Par97"/>
            <w:bookmarkEnd w:id="4"/>
            <w:r w:rsidRPr="003D7E40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Результат предоставления Субсидии </w:t>
            </w:r>
            <w:hyperlink w:anchor="Par323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контрольные точки отчетного периода </w:t>
            </w:r>
            <w:hyperlink w:anchor="Par324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контрольные точки планового периода </w:t>
            </w:r>
            <w:hyperlink w:anchor="Par325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Результат предоставления Субсидии </w:t>
            </w:r>
            <w:hyperlink w:anchor="Par323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&lt;15&gt;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контрольные точки отчетного периода </w:t>
            </w:r>
            <w:hyperlink w:anchor="Par324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&lt;16&gt;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 xml:space="preserve">контрольные точки планового периода </w:t>
            </w:r>
            <w:hyperlink w:anchor="Par325" w:history="1">
              <w:r w:rsidRPr="003D7E40">
                <w:rPr>
                  <w:rFonts w:ascii="Times New Roman" w:hAnsi="Times New Roman"/>
                  <w:sz w:val="16"/>
                  <w:szCs w:val="16"/>
                </w:rPr>
                <w:t>&lt;17&gt;</w:t>
              </w:r>
            </w:hyperlink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/>
                <w:sz w:val="16"/>
                <w:szCs w:val="16"/>
              </w:rPr>
            </w:pPr>
            <w:r w:rsidRPr="003D7E40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1148D" w:rsidRPr="003D7E40" w:rsidTr="00C1148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10"/>
        <w:gridCol w:w="340"/>
        <w:gridCol w:w="1625"/>
        <w:gridCol w:w="365"/>
        <w:gridCol w:w="1750"/>
        <w:gridCol w:w="418"/>
        <w:gridCol w:w="2389"/>
      </w:tblGrid>
      <w:tr w:rsidR="00C1148D" w:rsidRPr="00212437" w:rsidTr="00624696">
        <w:tc>
          <w:tcPr>
            <w:tcW w:w="2610" w:type="dxa"/>
            <w:vAlign w:val="bottom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Руководитель (уполномоченное лицо) Получателя</w:t>
            </w:r>
          </w:p>
        </w:tc>
        <w:tc>
          <w:tcPr>
            <w:tcW w:w="340" w:type="dxa"/>
          </w:tcPr>
          <w:p w:rsidR="00C1148D" w:rsidRPr="00212437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5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8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148D" w:rsidRPr="00212437" w:rsidTr="00624696">
        <w:tc>
          <w:tcPr>
            <w:tcW w:w="26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212437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18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(расшифровка подписи)</w:t>
            </w:r>
          </w:p>
        </w:tc>
      </w:tr>
      <w:tr w:rsidR="00C1148D" w:rsidRPr="00212437" w:rsidTr="00624696">
        <w:tc>
          <w:tcPr>
            <w:tcW w:w="2610" w:type="dxa"/>
            <w:vAlign w:val="center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</w:tcPr>
          <w:p w:rsidR="00C1148D" w:rsidRPr="00212437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65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18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9" w:type="dxa"/>
            <w:tcBorders>
              <w:bottom w:val="single" w:sz="4" w:space="0" w:color="auto"/>
            </w:tcBorders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C1148D" w:rsidRPr="00212437" w:rsidTr="00624696">
        <w:tc>
          <w:tcPr>
            <w:tcW w:w="26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:rsidR="00C1148D" w:rsidRPr="00212437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1625" w:type="dxa"/>
            <w:tcBorders>
              <w:top w:val="single" w:sz="4" w:space="0" w:color="auto"/>
            </w:tcBorders>
            <w:vAlign w:val="bottom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65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</w:tcBorders>
            <w:vAlign w:val="bottom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(фамилия, инициалы)</w:t>
            </w:r>
          </w:p>
        </w:tc>
        <w:tc>
          <w:tcPr>
            <w:tcW w:w="418" w:type="dxa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</w:tcBorders>
            <w:vAlign w:val="bottom"/>
          </w:tcPr>
          <w:p w:rsidR="00C1148D" w:rsidRPr="002E4901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2E4901">
              <w:rPr>
                <w:rFonts w:ascii="Times New Roman" w:hAnsi="Times New Roman"/>
                <w:i/>
                <w:sz w:val="20"/>
                <w:szCs w:val="20"/>
              </w:rPr>
              <w:t>(телефон)</w:t>
            </w:r>
          </w:p>
        </w:tc>
      </w:tr>
      <w:tr w:rsidR="00C1148D" w:rsidRPr="003D7E40" w:rsidTr="00624696">
        <w:tc>
          <w:tcPr>
            <w:tcW w:w="261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E40">
              <w:rPr>
                <w:rFonts w:ascii="Times New Roman" w:hAnsi="Times New Roman"/>
                <w:sz w:val="20"/>
                <w:szCs w:val="20"/>
              </w:rPr>
              <w:t>"__" _________ 20__ г.</w:t>
            </w:r>
          </w:p>
        </w:tc>
        <w:tc>
          <w:tcPr>
            <w:tcW w:w="34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5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0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C1148D" w:rsidRPr="003D7E40" w:rsidRDefault="00C1148D" w:rsidP="006246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C1148D" w:rsidRPr="000F6765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309"/>
      <w:bookmarkEnd w:id="5"/>
      <w:proofErr w:type="gramStart"/>
      <w:r w:rsidRPr="003D7E40">
        <w:rPr>
          <w:rFonts w:ascii="Times New Roman" w:hAnsi="Times New Roman"/>
          <w:sz w:val="20"/>
          <w:szCs w:val="20"/>
        </w:rPr>
        <w:t xml:space="preserve"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 </w:t>
      </w:r>
      <w:bookmarkStart w:id="6" w:name="Par310"/>
      <w:bookmarkEnd w:id="6"/>
      <w:proofErr w:type="gramEnd"/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3D7E40">
        <w:rPr>
          <w:rFonts w:ascii="Times New Roman" w:hAnsi="Times New Roman"/>
          <w:sz w:val="20"/>
          <w:szCs w:val="20"/>
        </w:rPr>
        <w:t>&lt;2</w:t>
      </w:r>
      <w:proofErr w:type="gramStart"/>
      <w:r w:rsidRPr="003D7E40">
        <w:rPr>
          <w:rFonts w:ascii="Times New Roman" w:hAnsi="Times New Roman"/>
          <w:sz w:val="20"/>
          <w:szCs w:val="20"/>
        </w:rPr>
        <w:t>&gt; З</w:t>
      </w:r>
      <w:proofErr w:type="gramEnd"/>
      <w:r w:rsidRPr="003D7E40">
        <w:rPr>
          <w:rFonts w:ascii="Times New Roman" w:hAnsi="Times New Roman"/>
          <w:sz w:val="20"/>
          <w:szCs w:val="20"/>
        </w:rPr>
        <w:t>аполняется в случае, если Получателем является физическое лицо.</w:t>
      </w:r>
    </w:p>
    <w:p w:rsidR="00C1148D" w:rsidRPr="000F6765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bCs/>
          <w:sz w:val="20"/>
          <w:szCs w:val="20"/>
        </w:rPr>
      </w:pPr>
      <w:bookmarkStart w:id="7" w:name="Par311"/>
      <w:bookmarkEnd w:id="7"/>
      <w:r w:rsidRPr="003D7E40">
        <w:rPr>
          <w:rFonts w:ascii="Times New Roman" w:hAnsi="Times New Roman"/>
          <w:sz w:val="20"/>
          <w:szCs w:val="20"/>
        </w:rPr>
        <w:t>&lt;3</w:t>
      </w:r>
      <w:proofErr w:type="gramStart"/>
      <w:r w:rsidRPr="003D7E40">
        <w:rPr>
          <w:rFonts w:ascii="Times New Roman" w:hAnsi="Times New Roman"/>
          <w:sz w:val="20"/>
          <w:szCs w:val="20"/>
        </w:rPr>
        <w:t xml:space="preserve">&gt; </w:t>
      </w:r>
      <w:bookmarkStart w:id="8" w:name="Par312"/>
      <w:bookmarkEnd w:id="8"/>
      <w:r w:rsidRPr="000F6765">
        <w:rPr>
          <w:rFonts w:ascii="Times New Roman" w:hAnsi="Times New Roman"/>
          <w:bCs/>
          <w:sz w:val="20"/>
          <w:szCs w:val="20"/>
        </w:rPr>
        <w:t>У</w:t>
      </w:r>
      <w:proofErr w:type="gramEnd"/>
      <w:r w:rsidRPr="000F6765">
        <w:rPr>
          <w:rFonts w:ascii="Times New Roman" w:hAnsi="Times New Roman"/>
          <w:bCs/>
          <w:sz w:val="20"/>
          <w:szCs w:val="20"/>
        </w:rPr>
        <w:t>казывается наименование мероприятия целевой статьи расходов городского бюджета и соответствующий ему код (4 и 5 разряды целевой статьи расходов городского бюджета).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3D7E40">
        <w:rPr>
          <w:rFonts w:ascii="Times New Roman" w:hAnsi="Times New Roman"/>
          <w:sz w:val="20"/>
          <w:szCs w:val="20"/>
        </w:rPr>
        <w:lastRenderedPageBreak/>
        <w:t xml:space="preserve">&lt;4&gt; Показатели формируются на основании показателей, указанных в приложении к соглашению, оформленному в соответствии с </w:t>
      </w:r>
      <w:hyperlink r:id="rId8" w:history="1">
        <w:r w:rsidRPr="003D7E40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0F6765">
          <w:rPr>
            <w:rFonts w:ascii="Times New Roman" w:hAnsi="Times New Roman"/>
            <w:sz w:val="20"/>
            <w:szCs w:val="20"/>
          </w:rPr>
          <w:t>№</w:t>
        </w:r>
        <w:r w:rsidRPr="003D7E40">
          <w:rPr>
            <w:rFonts w:ascii="Times New Roman" w:hAnsi="Times New Roman"/>
            <w:sz w:val="20"/>
            <w:szCs w:val="20"/>
          </w:rPr>
          <w:t xml:space="preserve"> 5</w:t>
        </w:r>
      </w:hyperlink>
      <w:r w:rsidRPr="003D7E40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9" w:name="Par313"/>
      <w:bookmarkEnd w:id="9"/>
      <w:r w:rsidRPr="003D7E40">
        <w:rPr>
          <w:rFonts w:ascii="Times New Roman" w:hAnsi="Times New Roman"/>
          <w:sz w:val="20"/>
          <w:szCs w:val="20"/>
        </w:rPr>
        <w:t>&lt;5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казываются реквизиты соглашения.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0" w:name="Par314"/>
      <w:bookmarkEnd w:id="10"/>
      <w:r w:rsidRPr="003D7E40">
        <w:rPr>
          <w:rFonts w:ascii="Times New Roman" w:hAnsi="Times New Roman"/>
          <w:sz w:val="20"/>
          <w:szCs w:val="20"/>
        </w:rPr>
        <w:t>&lt;6</w:t>
      </w:r>
      <w:proofErr w:type="gramStart"/>
      <w:r w:rsidRPr="003D7E40">
        <w:rPr>
          <w:rFonts w:ascii="Times New Roman" w:hAnsi="Times New Roman"/>
          <w:sz w:val="20"/>
          <w:szCs w:val="20"/>
        </w:rPr>
        <w:t>&gt; П</w:t>
      </w:r>
      <w:proofErr w:type="gramEnd"/>
      <w:r w:rsidRPr="003D7E40">
        <w:rPr>
          <w:rFonts w:ascii="Times New Roman" w:hAnsi="Times New Roman"/>
          <w:sz w:val="20"/>
          <w:szCs w:val="20"/>
        </w:rPr>
        <w:t>ри представлении уточненного отчета указывается номер очередного внесения изменения в приложение (например, "1", "2", "3", "...").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1" w:name="Par315"/>
      <w:bookmarkEnd w:id="11"/>
      <w:r w:rsidRPr="003D7E40">
        <w:rPr>
          <w:rFonts w:ascii="Times New Roman" w:hAnsi="Times New Roman"/>
          <w:sz w:val="20"/>
          <w:szCs w:val="20"/>
        </w:rPr>
        <w:t xml:space="preserve">&lt;7&gt; Показатели </w:t>
      </w:r>
      <w:hyperlink w:anchor="Par91" w:history="1">
        <w:r w:rsidRPr="003D7E40">
          <w:rPr>
            <w:rFonts w:ascii="Times New Roman" w:hAnsi="Times New Roman"/>
            <w:sz w:val="20"/>
            <w:szCs w:val="20"/>
          </w:rPr>
          <w:t>граф 1</w:t>
        </w:r>
      </w:hyperlink>
      <w:r w:rsidRPr="003D7E40">
        <w:rPr>
          <w:rFonts w:ascii="Times New Roman" w:hAnsi="Times New Roman"/>
          <w:sz w:val="20"/>
          <w:szCs w:val="20"/>
        </w:rPr>
        <w:t xml:space="preserve"> - </w:t>
      </w:r>
      <w:hyperlink w:anchor="Par95" w:history="1">
        <w:r w:rsidRPr="003D7E40">
          <w:rPr>
            <w:rFonts w:ascii="Times New Roman" w:hAnsi="Times New Roman"/>
            <w:sz w:val="20"/>
            <w:szCs w:val="20"/>
          </w:rPr>
          <w:t>5</w:t>
        </w:r>
      </w:hyperlink>
      <w:r w:rsidRPr="003D7E40">
        <w:rPr>
          <w:rFonts w:ascii="Times New Roman" w:hAnsi="Times New Roman"/>
          <w:sz w:val="20"/>
          <w:szCs w:val="20"/>
        </w:rPr>
        <w:t xml:space="preserve"> формируются на основании показателей </w:t>
      </w:r>
      <w:hyperlink w:anchor="Par91" w:history="1">
        <w:r w:rsidRPr="003D7E40">
          <w:rPr>
            <w:rFonts w:ascii="Times New Roman" w:hAnsi="Times New Roman"/>
            <w:sz w:val="20"/>
            <w:szCs w:val="20"/>
          </w:rPr>
          <w:t>граф 1</w:t>
        </w:r>
      </w:hyperlink>
      <w:r w:rsidRPr="003D7E40">
        <w:rPr>
          <w:rFonts w:ascii="Times New Roman" w:hAnsi="Times New Roman"/>
          <w:sz w:val="20"/>
          <w:szCs w:val="20"/>
        </w:rPr>
        <w:t xml:space="preserve"> - </w:t>
      </w:r>
      <w:hyperlink w:anchor="Par95" w:history="1">
        <w:r w:rsidRPr="003D7E40">
          <w:rPr>
            <w:rFonts w:ascii="Times New Roman" w:hAnsi="Times New Roman"/>
            <w:sz w:val="20"/>
            <w:szCs w:val="20"/>
          </w:rPr>
          <w:t>5</w:t>
        </w:r>
      </w:hyperlink>
      <w:r w:rsidRPr="003D7E40">
        <w:rPr>
          <w:rFonts w:ascii="Times New Roman" w:hAnsi="Times New Roman"/>
          <w:sz w:val="20"/>
          <w:szCs w:val="20"/>
        </w:rPr>
        <w:t xml:space="preserve">, указанных в приложении к соглашению, оформленному в соответствии с </w:t>
      </w:r>
      <w:hyperlink r:id="rId9" w:history="1">
        <w:r w:rsidRPr="003D7E40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0F6765">
          <w:rPr>
            <w:rFonts w:ascii="Times New Roman" w:hAnsi="Times New Roman"/>
            <w:sz w:val="20"/>
            <w:szCs w:val="20"/>
          </w:rPr>
          <w:t>№</w:t>
        </w:r>
        <w:r w:rsidRPr="003D7E40">
          <w:rPr>
            <w:rFonts w:ascii="Times New Roman" w:hAnsi="Times New Roman"/>
            <w:sz w:val="20"/>
            <w:szCs w:val="20"/>
          </w:rPr>
          <w:t xml:space="preserve"> 5</w:t>
        </w:r>
      </w:hyperlink>
      <w:r w:rsidRPr="003D7E40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2" w:name="Par316"/>
      <w:bookmarkEnd w:id="12"/>
      <w:r w:rsidRPr="003D7E40">
        <w:rPr>
          <w:rFonts w:ascii="Times New Roman" w:hAnsi="Times New Roman"/>
          <w:sz w:val="20"/>
          <w:szCs w:val="20"/>
        </w:rPr>
        <w:t>&lt;8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 xml:space="preserve">казываются в соответствии с плановыми значениями, установленными в </w:t>
      </w:r>
      <w:hyperlink w:anchor="Par96" w:history="1">
        <w:r w:rsidRPr="003D7E40">
          <w:rPr>
            <w:rFonts w:ascii="Times New Roman" w:hAnsi="Times New Roman"/>
            <w:sz w:val="20"/>
            <w:szCs w:val="20"/>
          </w:rPr>
          <w:t>графе 6</w:t>
        </w:r>
      </w:hyperlink>
      <w:r w:rsidRPr="003D7E40">
        <w:rPr>
          <w:rFonts w:ascii="Times New Roman" w:hAnsi="Times New Roman"/>
          <w:sz w:val="20"/>
          <w:szCs w:val="20"/>
        </w:rPr>
        <w:t xml:space="preserve"> приложения к соглашению, оформленному в соответствии с </w:t>
      </w:r>
      <w:hyperlink r:id="rId10" w:history="1">
        <w:r w:rsidRPr="003D7E40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0F6765">
          <w:rPr>
            <w:rFonts w:ascii="Times New Roman" w:hAnsi="Times New Roman"/>
            <w:sz w:val="20"/>
            <w:szCs w:val="20"/>
          </w:rPr>
          <w:t>№</w:t>
        </w:r>
        <w:r w:rsidRPr="003D7E40">
          <w:rPr>
            <w:rFonts w:ascii="Times New Roman" w:hAnsi="Times New Roman"/>
            <w:sz w:val="20"/>
            <w:szCs w:val="20"/>
          </w:rPr>
          <w:t xml:space="preserve"> 5</w:t>
        </w:r>
      </w:hyperlink>
      <w:r w:rsidRPr="003D7E40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3" w:name="Par317"/>
      <w:bookmarkEnd w:id="13"/>
      <w:r w:rsidRPr="003D7E40">
        <w:rPr>
          <w:rFonts w:ascii="Times New Roman" w:hAnsi="Times New Roman"/>
          <w:sz w:val="20"/>
          <w:szCs w:val="20"/>
        </w:rPr>
        <w:t>&lt;9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ar91" w:history="1">
        <w:r w:rsidRPr="003D7E40">
          <w:rPr>
            <w:rFonts w:ascii="Times New Roman" w:hAnsi="Times New Roman"/>
            <w:sz w:val="20"/>
            <w:szCs w:val="20"/>
          </w:rPr>
          <w:t>графе 1</w:t>
        </w:r>
      </w:hyperlink>
      <w:r w:rsidRPr="003D7E40">
        <w:rPr>
          <w:rFonts w:ascii="Times New Roman" w:hAnsi="Times New Roman"/>
          <w:sz w:val="20"/>
          <w:szCs w:val="20"/>
        </w:rPr>
        <w:t>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4" w:name="Par318"/>
      <w:bookmarkEnd w:id="14"/>
      <w:r w:rsidRPr="003D7E40">
        <w:rPr>
          <w:rFonts w:ascii="Times New Roman" w:hAnsi="Times New Roman"/>
          <w:sz w:val="20"/>
          <w:szCs w:val="20"/>
        </w:rPr>
        <w:t>&lt;10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ar91" w:history="1">
        <w:r w:rsidRPr="003D7E40">
          <w:rPr>
            <w:rFonts w:ascii="Times New Roman" w:hAnsi="Times New Roman"/>
            <w:sz w:val="20"/>
            <w:szCs w:val="20"/>
          </w:rPr>
          <w:t>графе 1</w:t>
        </w:r>
      </w:hyperlink>
      <w:r w:rsidRPr="003D7E40">
        <w:rPr>
          <w:rFonts w:ascii="Times New Roman" w:hAnsi="Times New Roman"/>
          <w:sz w:val="20"/>
          <w:szCs w:val="20"/>
        </w:rPr>
        <w:t xml:space="preserve">, от планового значения, указанного в </w:t>
      </w:r>
      <w:hyperlink w:anchor="Par96" w:history="1">
        <w:r w:rsidRPr="003D7E40">
          <w:rPr>
            <w:rFonts w:ascii="Times New Roman" w:hAnsi="Times New Roman"/>
            <w:sz w:val="20"/>
            <w:szCs w:val="20"/>
          </w:rPr>
          <w:t>графе 6</w:t>
        </w:r>
      </w:hyperlink>
      <w:r w:rsidRPr="003D7E40">
        <w:rPr>
          <w:rFonts w:ascii="Times New Roman" w:hAnsi="Times New Roman"/>
          <w:sz w:val="20"/>
          <w:szCs w:val="20"/>
        </w:rPr>
        <w:t>, срок достижения по которым на соответствующую отчетную дату наступил.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5" w:name="Par319"/>
      <w:bookmarkEnd w:id="15"/>
      <w:r w:rsidRPr="003D7E40">
        <w:rPr>
          <w:rFonts w:ascii="Times New Roman" w:hAnsi="Times New Roman"/>
          <w:sz w:val="20"/>
          <w:szCs w:val="20"/>
        </w:rPr>
        <w:t>&lt;11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 xml:space="preserve">казываются в соответствии с плановыми датами, установленными в </w:t>
      </w:r>
      <w:hyperlink w:anchor="Par97" w:history="1">
        <w:r w:rsidRPr="003D7E40">
          <w:rPr>
            <w:rFonts w:ascii="Times New Roman" w:hAnsi="Times New Roman"/>
            <w:sz w:val="20"/>
            <w:szCs w:val="20"/>
          </w:rPr>
          <w:t>графе 7</w:t>
        </w:r>
      </w:hyperlink>
      <w:r w:rsidRPr="003D7E40">
        <w:rPr>
          <w:rFonts w:ascii="Times New Roman" w:hAnsi="Times New Roman"/>
          <w:sz w:val="20"/>
          <w:szCs w:val="20"/>
        </w:rPr>
        <w:t xml:space="preserve"> приложения к соглашению, оформленному в соответствии с </w:t>
      </w:r>
      <w:hyperlink r:id="rId11" w:history="1">
        <w:r w:rsidRPr="003D7E40">
          <w:rPr>
            <w:rFonts w:ascii="Times New Roman" w:hAnsi="Times New Roman"/>
            <w:sz w:val="20"/>
            <w:szCs w:val="20"/>
          </w:rPr>
          <w:t xml:space="preserve">приложением </w:t>
        </w:r>
        <w:r w:rsidRPr="000F6765">
          <w:rPr>
            <w:rFonts w:ascii="Times New Roman" w:hAnsi="Times New Roman"/>
            <w:sz w:val="20"/>
            <w:szCs w:val="20"/>
          </w:rPr>
          <w:t>№</w:t>
        </w:r>
        <w:r w:rsidRPr="003D7E40">
          <w:rPr>
            <w:rFonts w:ascii="Times New Roman" w:hAnsi="Times New Roman"/>
            <w:sz w:val="20"/>
            <w:szCs w:val="20"/>
          </w:rPr>
          <w:t xml:space="preserve"> 5</w:t>
        </w:r>
      </w:hyperlink>
      <w:r w:rsidRPr="003D7E40">
        <w:rPr>
          <w:rFonts w:ascii="Times New Roman" w:hAnsi="Times New Roman"/>
          <w:sz w:val="20"/>
          <w:szCs w:val="20"/>
        </w:rPr>
        <w:t xml:space="preserve"> к настоящей Типовой форме.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6" w:name="Par320"/>
      <w:bookmarkEnd w:id="16"/>
      <w:r w:rsidRPr="003D7E40">
        <w:rPr>
          <w:rFonts w:ascii="Times New Roman" w:hAnsi="Times New Roman"/>
          <w:sz w:val="20"/>
          <w:szCs w:val="20"/>
        </w:rPr>
        <w:t>&lt;12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ar91" w:history="1">
        <w:r w:rsidRPr="003D7E40">
          <w:rPr>
            <w:rFonts w:ascii="Times New Roman" w:hAnsi="Times New Roman"/>
            <w:sz w:val="20"/>
            <w:szCs w:val="20"/>
          </w:rPr>
          <w:t>графе 1</w:t>
        </w:r>
      </w:hyperlink>
      <w:r w:rsidRPr="003D7E40">
        <w:rPr>
          <w:rFonts w:ascii="Times New Roman" w:hAnsi="Times New Roman"/>
          <w:sz w:val="20"/>
          <w:szCs w:val="20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ar96" w:history="1">
        <w:r w:rsidRPr="003D7E40">
          <w:rPr>
            <w:rFonts w:ascii="Times New Roman" w:hAnsi="Times New Roman"/>
            <w:sz w:val="20"/>
            <w:szCs w:val="20"/>
          </w:rPr>
          <w:t>графе 6</w:t>
        </w:r>
      </w:hyperlink>
      <w:r w:rsidRPr="003D7E40">
        <w:rPr>
          <w:rFonts w:ascii="Times New Roman" w:hAnsi="Times New Roman"/>
          <w:sz w:val="20"/>
          <w:szCs w:val="20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7" w:name="Par321"/>
      <w:bookmarkEnd w:id="17"/>
      <w:r w:rsidRPr="003D7E40">
        <w:rPr>
          <w:rFonts w:ascii="Times New Roman" w:hAnsi="Times New Roman"/>
          <w:sz w:val="20"/>
          <w:szCs w:val="20"/>
        </w:rPr>
        <w:t>&lt;13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казывается статус "0" - отсутствие отклонений, "1" - наличие отклонений.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8" w:name="Par322"/>
      <w:bookmarkEnd w:id="18"/>
      <w:r w:rsidRPr="003D7E40">
        <w:rPr>
          <w:rFonts w:ascii="Times New Roman" w:hAnsi="Times New Roman"/>
          <w:sz w:val="20"/>
          <w:szCs w:val="20"/>
        </w:rPr>
        <w:t>&lt;14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19" w:name="Par323"/>
      <w:bookmarkEnd w:id="19"/>
      <w:r w:rsidRPr="003D7E40">
        <w:rPr>
          <w:rFonts w:ascii="Times New Roman" w:hAnsi="Times New Roman"/>
          <w:sz w:val="20"/>
          <w:szCs w:val="20"/>
        </w:rPr>
        <w:t>&lt;15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казывается наименование результата предоставления Субсидии.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0" w:name="Par324"/>
      <w:bookmarkEnd w:id="20"/>
      <w:r w:rsidRPr="003D7E40">
        <w:rPr>
          <w:rFonts w:ascii="Times New Roman" w:hAnsi="Times New Roman"/>
          <w:sz w:val="20"/>
          <w:szCs w:val="20"/>
        </w:rPr>
        <w:t>&lt;16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казывается наименование контрольной точки, дата достижения которой наступила в отчетном периоде.</w:t>
      </w:r>
    </w:p>
    <w:p w:rsidR="00C1148D" w:rsidRPr="003D7E40" w:rsidRDefault="00C1148D" w:rsidP="00C1148D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bookmarkStart w:id="21" w:name="Par325"/>
      <w:bookmarkEnd w:id="21"/>
      <w:r w:rsidRPr="003D7E40">
        <w:rPr>
          <w:rFonts w:ascii="Times New Roman" w:hAnsi="Times New Roman"/>
          <w:sz w:val="20"/>
          <w:szCs w:val="20"/>
        </w:rPr>
        <w:t>&lt;17</w:t>
      </w:r>
      <w:proofErr w:type="gramStart"/>
      <w:r w:rsidRPr="003D7E40">
        <w:rPr>
          <w:rFonts w:ascii="Times New Roman" w:hAnsi="Times New Roman"/>
          <w:sz w:val="20"/>
          <w:szCs w:val="20"/>
        </w:rPr>
        <w:t>&gt; У</w:t>
      </w:r>
      <w:proofErr w:type="gramEnd"/>
      <w:r w:rsidRPr="003D7E40">
        <w:rPr>
          <w:rFonts w:ascii="Times New Roman" w:hAnsi="Times New Roman"/>
          <w:sz w:val="20"/>
          <w:szCs w:val="20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C1148D" w:rsidRPr="003D7E40" w:rsidRDefault="00C1148D" w:rsidP="00C11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C1148D" w:rsidRPr="000F6765" w:rsidRDefault="00C1148D" w:rsidP="00C1148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C1148D" w:rsidRDefault="00C1148D" w:rsidP="00C114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41127" w:rsidRDefault="00F41127"/>
    <w:sectPr w:rsidR="00F41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70" w:rsidRDefault="00C1148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0B4870" w:rsidRDefault="00C1148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CA0" w:rsidRDefault="00C1148D">
    <w:pPr>
      <w:pStyle w:val="a3"/>
      <w:jc w:val="center"/>
    </w:pPr>
  </w:p>
  <w:p w:rsidR="003C3CA0" w:rsidRDefault="00C1148D" w:rsidP="00EE0CB3">
    <w:pPr>
      <w:pStyle w:val="a3"/>
      <w:jc w:val="center"/>
    </w:pPr>
  </w:p>
  <w:p w:rsidR="003C3CA0" w:rsidRDefault="00C1148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8D"/>
    <w:rsid w:val="00C1148D"/>
    <w:rsid w:val="00F4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48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8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48D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1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14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44DF19D57960B04F5C3A811453327B51E1FC845011B8924CE19F3068F65DECCD9D035FC1573B36989383ECD9067058556EB7F43037D2CJ1n3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244DF19D57960B04F5C3A811453327B51D17C948041B8924CE19F3068F65DEDED98839FE1764B66F9C6E6F8BJCn7I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hyperlink" Target="consultantplus://offline/ref=5F244DF19D57960B04F5C3A811453327B51E1FC845011B8924CE19F3068F65DECCD9D035FC1573B36989383ECD9067058556EB7F43037D2CJ1n3I" TargetMode="External"/><Relationship Id="rId5" Type="http://schemas.openxmlformats.org/officeDocument/2006/relationships/header" Target="header1.xml"/><Relationship Id="rId10" Type="http://schemas.openxmlformats.org/officeDocument/2006/relationships/hyperlink" Target="consultantplus://offline/ref=5F244DF19D57960B04F5C3A811453327B51E1FC845011B8924CE19F3068F65DECCD9D035FC1573B36989383ECD9067058556EB7F43037D2CJ1n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44DF19D57960B04F5C3A811453327B51E1FC845011B8924CE19F3068F65DECCD9D035FC1573B36989383ECD9067058556EB7F43037D2CJ1n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 Щеколдина</dc:creator>
  <cp:lastModifiedBy>Ирина Николаевна Щеколдина</cp:lastModifiedBy>
  <cp:revision>1</cp:revision>
  <cp:lastPrinted>2022-12-30T10:57:00Z</cp:lastPrinted>
  <dcterms:created xsi:type="dcterms:W3CDTF">2022-12-30T10:56:00Z</dcterms:created>
  <dcterms:modified xsi:type="dcterms:W3CDTF">2022-12-30T10:57:00Z</dcterms:modified>
</cp:coreProperties>
</file>